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F70F1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（本格式合同条款供双方签订合同参考，采购人可根据项目的实际情况增减条款和内容）</w:t>
      </w:r>
    </w:p>
    <w:p w14:paraId="360B77FE">
      <w:pPr>
        <w:pStyle w:val="4"/>
        <w:rPr>
          <w:rFonts w:hint="eastAsia" w:ascii="仿宋" w:hAnsi="仿宋" w:eastAsia="仿宋" w:cs="仿宋"/>
        </w:rPr>
      </w:pPr>
    </w:p>
    <w:p w14:paraId="20AAE4DB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</w:rPr>
        <w:br w:type="page"/>
      </w:r>
    </w:p>
    <w:p w14:paraId="0C8AA89E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en-US"/>
        </w:rPr>
        <w:t xml:space="preserve">政府采购项目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en-US"/>
        </w:rPr>
        <w:t xml:space="preserve">                            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bdr w:val="single" w:color="auto" w:sz="4" w:space="0"/>
          <w:lang w:bidi="en-US"/>
        </w:rPr>
        <w:t>竞争性磋商</w:t>
      </w:r>
    </w:p>
    <w:p w14:paraId="2AEEF8CA">
      <w:pPr>
        <w:keepNext/>
        <w:keepLines/>
        <w:spacing w:after="120" w:line="360" w:lineRule="auto"/>
        <w:ind w:left="620" w:firstLine="1160" w:firstLineChars="200"/>
        <w:jc w:val="center"/>
        <w:outlineLvl w:val="0"/>
        <w:rPr>
          <w:rFonts w:hint="eastAsia" w:ascii="仿宋" w:hAnsi="仿宋" w:eastAsia="仿宋" w:cs="仿宋"/>
          <w:sz w:val="58"/>
          <w:szCs w:val="58"/>
          <w:lang w:bidi="en-US"/>
        </w:rPr>
      </w:pPr>
    </w:p>
    <w:p w14:paraId="4C1D413D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52"/>
          <w:szCs w:val="52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 w:bidi="zh-TW"/>
        </w:rPr>
        <w:t>“世界的秦岭”多语种全平台对外宣传和国际传播项目</w:t>
      </w:r>
    </w:p>
    <w:p w14:paraId="5B5CAD15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41E474E1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000000"/>
          <w:sz w:val="72"/>
          <w:szCs w:val="72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服务合同</w:t>
      </w:r>
      <w:bookmarkEnd w:id="0"/>
    </w:p>
    <w:p w14:paraId="0DD7F0F2">
      <w:pPr>
        <w:spacing w:after="120" w:line="360" w:lineRule="auto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  <w:t>（编号：HYTF-202603012）</w:t>
      </w:r>
    </w:p>
    <w:p w14:paraId="76EAA2E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7EAC2583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85D754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01271E6D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lang w:bidi="zh-TW"/>
        </w:rPr>
      </w:pPr>
      <w:bookmarkStart w:id="1" w:name="bookmark5"/>
      <w:bookmarkStart w:id="2" w:name="bookmark4"/>
      <w:bookmarkStart w:id="3" w:name="bookmark3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>西安市秦岭生态环境保护管理局</w:t>
      </w:r>
    </w:p>
    <w:p w14:paraId="38E99470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  <w:t xml:space="preserve">                         </w:t>
      </w:r>
    </w:p>
    <w:p w14:paraId="7471ED09">
      <w:pPr>
        <w:spacing w:after="480" w:line="360" w:lineRule="auto"/>
        <w:ind w:left="200" w:firstLine="3015" w:firstLineChars="1005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bidi="en-US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 w:bidi="en-US"/>
        </w:rPr>
        <w:t>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 xml:space="preserve">月 </w:t>
      </w:r>
    </w:p>
    <w:p w14:paraId="1C377816">
      <w:pPr>
        <w:spacing w:line="360" w:lineRule="auto"/>
        <w:ind w:left="1571" w:leftChars="748" w:firstLine="1776" w:firstLineChars="592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西安</w:t>
      </w:r>
    </w:p>
    <w:p w14:paraId="02BF01A7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en-US"/>
        </w:rPr>
        <w:br w:type="page"/>
      </w:r>
    </w:p>
    <w:bookmarkEnd w:id="1"/>
    <w:bookmarkEnd w:id="2"/>
    <w:bookmarkEnd w:id="3"/>
    <w:p w14:paraId="3588A98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</w:t>
      </w:r>
      <w:r>
        <w:rPr>
          <w:rFonts w:hint="eastAsia" w:ascii="仿宋" w:hAnsi="仿宋" w:eastAsia="仿宋" w:cs="仿宋"/>
          <w:sz w:val="24"/>
          <w:lang w:bidi="zh-TW"/>
        </w:rPr>
        <w:t>西安市秦岭生态环境保护管理局</w:t>
      </w:r>
    </w:p>
    <w:p w14:paraId="004D2BC0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              </w:t>
      </w:r>
    </w:p>
    <w:p w14:paraId="32AC3481">
      <w:pPr>
        <w:spacing w:line="360" w:lineRule="auto"/>
        <w:outlineLvl w:val="2"/>
        <w:rPr>
          <w:rFonts w:hint="eastAsia"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 xml:space="preserve">    “世界的秦岭”多语种全平台对外宣传和国际传播项目，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项目编号：HYTF-202603012，在西安市财政局的监督管理下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按照</w:t>
      </w:r>
      <w:r>
        <w:rPr>
          <w:rFonts w:hint="eastAsia" w:ascii="仿宋" w:hAnsi="仿宋" w:eastAsia="仿宋" w:cs="仿宋"/>
          <w:sz w:val="24"/>
          <w:lang w:bidi="zh-TW"/>
        </w:rPr>
        <w:t>政府采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购程序组织竞争性磋商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确定乙方</w:t>
      </w:r>
      <w:r>
        <w:rPr>
          <w:rFonts w:hint="eastAsia" w:ascii="仿宋" w:hAnsi="仿宋" w:eastAsia="仿宋" w:cs="仿宋"/>
          <w:sz w:val="24"/>
          <w:lang w:bidi="zh-TW"/>
        </w:rPr>
        <w:t>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成交供应商。依据</w:t>
      </w:r>
      <w:r>
        <w:rPr>
          <w:rFonts w:hint="eastAsia" w:ascii="仿宋" w:hAnsi="仿宋" w:eastAsia="仿宋" w:cs="仿宋"/>
          <w:sz w:val="24"/>
          <w:lang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4"/>
          <w:lang w:bidi="zh-TW"/>
        </w:rPr>
        <w:t>采购法》、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4"/>
          <w:lang w:bidi="zh-TW"/>
        </w:rPr>
        <w:t>中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华人民共和国民法典》以及竞争性</w:t>
      </w:r>
      <w:r>
        <w:rPr>
          <w:rFonts w:hint="eastAsia" w:ascii="仿宋" w:hAnsi="仿宋" w:eastAsia="仿宋" w:cs="仿宋"/>
          <w:sz w:val="24"/>
          <w:lang w:bidi="zh-TW"/>
        </w:rPr>
        <w:t>磋商文件、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成交通知书，经甲、乙双方协商，达成如下合同条款</w:t>
      </w:r>
      <w:r>
        <w:rPr>
          <w:rFonts w:hint="eastAsia" w:ascii="仿宋" w:hAnsi="仿宋" w:eastAsia="仿宋" w:cs="仿宋"/>
          <w:sz w:val="24"/>
          <w:lang w:val="zh-TW" w:bidi="zh-TW"/>
        </w:rPr>
        <w:t>。</w:t>
      </w:r>
    </w:p>
    <w:p w14:paraId="0FC14C64">
      <w:pPr>
        <w:spacing w:after="100"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一、合同标的物内容及数量（以响应文件正本和澄清表〈函〉为准）</w:t>
      </w:r>
    </w:p>
    <w:tbl>
      <w:tblPr>
        <w:tblStyle w:val="2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0"/>
        <w:gridCol w:w="1266"/>
        <w:gridCol w:w="1266"/>
        <w:gridCol w:w="1266"/>
        <w:gridCol w:w="1266"/>
        <w:gridCol w:w="915"/>
        <w:gridCol w:w="1053"/>
        <w:gridCol w:w="1053"/>
      </w:tblGrid>
      <w:tr w14:paraId="00E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1CC6E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CCF54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130D1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BE731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计量单位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CA1F0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服务时间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E33CD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08B33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2E72B2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0452D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</w:t>
            </w:r>
          </w:p>
          <w:p w14:paraId="5C2142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（元）</w:t>
            </w:r>
          </w:p>
        </w:tc>
      </w:tr>
      <w:tr w14:paraId="57F3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2C7CA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266" w:type="dxa"/>
            <w:shd w:val="clear" w:color="auto" w:fill="auto"/>
          </w:tcPr>
          <w:p w14:paraId="24C6C71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FC0FD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C67FF7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673D9B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7E0A50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E4881F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599EC0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7CF1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3AFF29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14:paraId="4E8D03C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B65BB5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CDC96D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8BF06F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5DAF9EC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53474B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118A1B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922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4C8779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266" w:type="dxa"/>
            <w:shd w:val="clear" w:color="auto" w:fill="auto"/>
          </w:tcPr>
          <w:p w14:paraId="21D8DFB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5A3E8B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97442A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EC5E57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1CA8B12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1363C8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9AE716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3379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AF13F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266" w:type="dxa"/>
            <w:shd w:val="clear" w:color="auto" w:fill="auto"/>
          </w:tcPr>
          <w:p w14:paraId="37B7A02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4025F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2D1897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B31809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3F6580E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C3AEAD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2CA1BC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BFE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3FC73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266" w:type="dxa"/>
            <w:shd w:val="clear" w:color="auto" w:fill="auto"/>
          </w:tcPr>
          <w:p w14:paraId="6E9B0B6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3F0FFB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3B92B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F46988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C88FA3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2592DD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133418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E88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9C925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266" w:type="dxa"/>
            <w:shd w:val="clear" w:color="auto" w:fill="auto"/>
          </w:tcPr>
          <w:p w14:paraId="7A08BAA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5BDCF2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673E9B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5242AF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327A58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2B1FCB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111C8D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A92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BF271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266" w:type="dxa"/>
            <w:shd w:val="clear" w:color="auto" w:fill="auto"/>
          </w:tcPr>
          <w:p w14:paraId="6457AEF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7345E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1E7982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D966A3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BC9CA7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D9BA45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70E36C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D93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1334FC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...</w:t>
            </w:r>
          </w:p>
        </w:tc>
        <w:tc>
          <w:tcPr>
            <w:tcW w:w="1266" w:type="dxa"/>
            <w:shd w:val="clear" w:color="auto" w:fill="auto"/>
          </w:tcPr>
          <w:p w14:paraId="16F114F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584AF2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E9FD3A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86857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7D2D10D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5DEC9B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5EB1D2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CCE7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C260E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N</w:t>
            </w:r>
          </w:p>
        </w:tc>
        <w:tc>
          <w:tcPr>
            <w:tcW w:w="1266" w:type="dxa"/>
            <w:shd w:val="clear" w:color="auto" w:fill="auto"/>
          </w:tcPr>
          <w:p w14:paraId="5511013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3842B6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FBA7EC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B98EDC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4A6546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05B6BD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31EB93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4AA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5660B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合计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56ACE21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E961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5" w:hRule="exact"/>
          <w:jc w:val="center"/>
        </w:trPr>
        <w:tc>
          <w:tcPr>
            <w:tcW w:w="730" w:type="dxa"/>
            <w:shd w:val="clear" w:color="auto" w:fill="auto"/>
          </w:tcPr>
          <w:p w14:paraId="258078F6">
            <w:pPr>
              <w:spacing w:before="120"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备注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2DDB196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4EB4406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（上表仅供参考,应根据项目具体内容修改填写，详细服务内容及明细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标准可附附件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或详见响应文件，需说明清楚）</w:t>
      </w:r>
    </w:p>
    <w:p w14:paraId="65B63BEB">
      <w:pPr>
        <w:spacing w:after="80"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5780AB81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服务期限：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      </w:t>
      </w:r>
    </w:p>
    <w:p w14:paraId="2EFCF710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（二）服务内容：详见</w:t>
      </w:r>
      <w:r>
        <w:rPr>
          <w:rFonts w:hint="eastAsia" w:ascii="仿宋" w:hAnsi="仿宋" w:eastAsia="仿宋" w:cs="仿宋"/>
          <w:sz w:val="24"/>
        </w:rPr>
        <w:t>采购内容及需求</w:t>
      </w:r>
      <w:r>
        <w:rPr>
          <w:rFonts w:hint="eastAsia" w:ascii="仿宋" w:hAnsi="仿宋" w:eastAsia="仿宋" w:cs="仿宋"/>
          <w:sz w:val="24"/>
          <w:lang w:bidi="zh-TW"/>
        </w:rPr>
        <w:t>。</w:t>
      </w:r>
    </w:p>
    <w:p w14:paraId="2795DC02">
      <w:pPr>
        <w:spacing w:line="360" w:lineRule="auto"/>
        <w:ind w:firstLine="241" w:firstLineChars="1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206AE062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</w:t>
      </w:r>
      <w:r>
        <w:rPr>
          <w:rFonts w:hint="eastAsia" w:ascii="仿宋" w:hAnsi="仿宋" w:eastAsia="仿宋" w:cs="仿宋"/>
          <w:sz w:val="24"/>
          <w:lang w:bidi="zh-TW"/>
        </w:rPr>
        <w:t>元）。</w:t>
      </w:r>
    </w:p>
    <w:p w14:paraId="71BAF779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273A3AFD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0963A5F2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09CC4238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zh-TW" w:eastAsia="zh-TW"/>
        </w:rPr>
      </w:pPr>
      <w:r>
        <w:rPr>
          <w:rFonts w:hint="eastAsia" w:ascii="仿宋" w:hAnsi="仿宋" w:eastAsia="仿宋" w:cs="仿宋"/>
          <w:sz w:val="24"/>
          <w:szCs w:val="24"/>
          <w:lang w:val="zh-TW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一</w:t>
      </w:r>
      <w:r>
        <w:rPr>
          <w:rFonts w:hint="eastAsia" w:ascii="仿宋" w:hAnsi="仿宋" w:eastAsia="仿宋" w:cs="仿宋"/>
          <w:sz w:val="24"/>
          <w:szCs w:val="24"/>
          <w:lang w:val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合同款的支付：</w:t>
      </w:r>
    </w:p>
    <w:p w14:paraId="67491A0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1）合同签订且供应商开具增值税发票后的30个工作日内，以银行转账方式向其支付合同总费用70%。</w:t>
      </w:r>
    </w:p>
    <w:p w14:paraId="1A23929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2）</w:t>
      </w:r>
      <w:bookmarkStart w:id="6" w:name="_GoBack"/>
      <w:bookmarkEnd w:id="6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项目结束后，供应商出具结项报告，第三方验收完成后30个工作日内，付清30%尾款。</w:t>
      </w:r>
    </w:p>
    <w:p w14:paraId="70644E3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szCs w:val="24"/>
          <w:lang w:val="zh-TW" w:eastAsia="zh-TW" w:bidi="zh-TW"/>
        </w:rPr>
        <w:t>方式：银行转账。</w:t>
      </w:r>
    </w:p>
    <w:p w14:paraId="56406B5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结算方式：付款前乙方应向甲</w:t>
      </w:r>
      <w:r>
        <w:rPr>
          <w:rFonts w:hint="eastAsia" w:ascii="仿宋" w:hAnsi="仿宋" w:eastAsia="仿宋" w:cs="仿宋"/>
          <w:sz w:val="24"/>
          <w:lang w:bidi="zh-TW"/>
        </w:rPr>
        <w:t>方提供合法有效的发票。乙方持成交通知书、服务合同、发票，与甲方结算。</w:t>
      </w:r>
    </w:p>
    <w:p w14:paraId="2548053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71BF8B7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3172896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C712C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071A1EE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2D57EEE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5149745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78B7BE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5CAFD3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206DB95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7D02AE7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47E6678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0A222D8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7493C5C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459844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64F59E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4DE000DF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167D7EB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乙方所供服务必须执行下列条款：</w:t>
      </w:r>
    </w:p>
    <w:p w14:paraId="37DE29E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（一）服务方案和方式科学、可行，人员配置合理，全面满足要求。</w:t>
      </w:r>
    </w:p>
    <w:p w14:paraId="68FB350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（二）符合国家有关服务规范要求，确保各项服务达到最佳运行效果。</w:t>
      </w:r>
    </w:p>
    <w:p w14:paraId="6680AA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（三）乙方提供的服务，若发生侵权而产生的一切后果，由乙方负责。甲方保留索赔权。</w:t>
      </w:r>
    </w:p>
    <w:p w14:paraId="6BBF0F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（四）服务承诺内容：以响应文件承诺为准。</w:t>
      </w:r>
    </w:p>
    <w:p w14:paraId="0D35093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6746A1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（一）服务内容完成后先由乙方进行自检，自检合格后邀请甲方进行验收。甲方确认乙方的自检内容后，组织乙方进行最终验收，验收时乙方应派人员参加，共同对验收结果进行确认，并承担相关责任。</w:t>
      </w:r>
    </w:p>
    <w:p w14:paraId="5D91F7C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（二）乙方向甲方提交服务实施过程中的所有资料。以便甲方日后管理。 </w:t>
      </w:r>
    </w:p>
    <w:p w14:paraId="0CAD52E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</w:p>
    <w:p w14:paraId="6619594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7202512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37C3CED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77A152BB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3B3E0969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合同中未约定的，按《民法典》中的相关条款执行。</w:t>
      </w:r>
      <w:bookmarkStart w:id="4" w:name="bookmark15"/>
    </w:p>
    <w:p w14:paraId="10B4F106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4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甲方应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4"/>
          <w:lang w:bidi="zh-TW"/>
        </w:rPr>
        <w:t>部门，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4"/>
          <w:lang w:bidi="zh-TW"/>
        </w:rPr>
        <w:t>有关条款及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4"/>
          <w:lang w:bidi="zh-TW"/>
        </w:rPr>
        <w:t>同时，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4"/>
          <w:lang w:val="zh-TW" w:bidi="zh-TW"/>
        </w:rPr>
        <w:t>的</w:t>
      </w:r>
      <w:r>
        <w:rPr>
          <w:rFonts w:hint="eastAsia" w:ascii="仿宋" w:hAnsi="仿宋" w:eastAsia="仿宋" w:cs="仿宋"/>
          <w:sz w:val="24"/>
          <w:lang w:bidi="zh-TW"/>
        </w:rPr>
        <w:t>违法行为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进行相应的处罚。</w:t>
      </w:r>
    </w:p>
    <w:p w14:paraId="06000373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4"/>
          <w:lang w:val="zh-TW" w:eastAsia="zh-TW" w:bidi="zh-TW"/>
        </w:rPr>
        <w:t>三）在本合同履行过程中，双方因违约或造成对方经济、</w:t>
      </w:r>
      <w:r>
        <w:rPr>
          <w:rFonts w:hint="eastAsia" w:ascii="仿宋" w:hAnsi="仿宋" w:eastAsia="仿宋" w:cs="仿宋"/>
          <w:sz w:val="24"/>
          <w:lang w:bidi="zh-TW"/>
        </w:rPr>
        <w:t>社会效益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等损失的应当赔偿。</w:t>
      </w:r>
    </w:p>
    <w:p w14:paraId="12A2896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CN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CN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sz w:val="24"/>
          <w:lang w:bidi="zh-TW"/>
        </w:rPr>
        <w:t>有权拒绝，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并且乙方须向甲方支付本合同总价款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ab/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</w:p>
    <w:p w14:paraId="22151561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五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乙方未能按照本合同约定时间提供服务或完成约定的项目服务</w:t>
      </w:r>
      <w:r>
        <w:rPr>
          <w:rFonts w:hint="eastAsia" w:ascii="仿宋" w:hAnsi="仿宋" w:eastAsia="仿宋" w:cs="仿宋"/>
          <w:sz w:val="24"/>
          <w:lang w:bidi="zh-TW"/>
        </w:rPr>
        <w:t>内容的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sz w:val="24"/>
          <w:lang w:bidi="zh-TW"/>
        </w:rPr>
        <w:t>金；逾期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日以上的，甲方有权终止合同，由此造成的甲方经济损失由</w:t>
      </w:r>
      <w:r>
        <w:rPr>
          <w:rFonts w:hint="eastAsia" w:ascii="仿宋" w:hAnsi="仿宋" w:eastAsia="仿宋" w:cs="仿宋"/>
          <w:sz w:val="24"/>
          <w:lang w:bidi="zh-TW"/>
        </w:rPr>
        <w:t>乙方承担。</w:t>
      </w:r>
    </w:p>
    <w:p w14:paraId="1580B862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六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未经甲方同意，乙方不得擅自将本合同服务分包或转包第三方</w:t>
      </w:r>
      <w:r>
        <w:rPr>
          <w:rFonts w:hint="eastAsia" w:ascii="仿宋" w:hAnsi="仿宋" w:eastAsia="仿宋" w:cs="仿宋"/>
          <w:sz w:val="24"/>
          <w:lang w:bidi="zh-TW"/>
        </w:rPr>
        <w:t>承担。</w:t>
      </w:r>
    </w:p>
    <w:p w14:paraId="61CC92A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七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本合同中各条款约定的违约金可自甲方未支付款项中直接扣除，违约金若不能弥补甲方损失的，乙方还应赔偿甲方超出部分的损失。</w:t>
      </w:r>
    </w:p>
    <w:p w14:paraId="790F16C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6C6635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186EE24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77E49A81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5E7E6A3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4B83529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6CE16FA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57A4F1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2D24360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2A6E374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1A0B0B8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162533E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6BA3419F">
      <w:pPr>
        <w:spacing w:after="100"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份,本合同甲、乙各方签字并盖章后生效，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02D51DBF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4724F1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kern w:val="0"/>
          <w:sz w:val="24"/>
        </w:rPr>
        <w:t>西安市财政局</w:t>
      </w:r>
      <w:r>
        <w:rPr>
          <w:rFonts w:hint="eastAsia" w:ascii="仿宋" w:hAnsi="仿宋" w:eastAsia="仿宋" w:cs="仿宋"/>
          <w:sz w:val="24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690F8F4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1C2EF1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66D4AE5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tbl>
      <w:tblPr>
        <w:tblStyle w:val="2"/>
        <w:tblpPr w:leftFromText="181" w:rightFromText="181" w:vertAnchor="text" w:horzAnchor="margin" w:tblpXSpec="center" w:tblpY="24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5"/>
        <w:gridCol w:w="4035"/>
      </w:tblGrid>
      <w:tr w14:paraId="2817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19FE737C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367" w:type="pct"/>
          </w:tcPr>
          <w:p w14:paraId="722583E3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23FB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632" w:type="pct"/>
            <w:vAlign w:val="center"/>
          </w:tcPr>
          <w:p w14:paraId="0E291FF9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54382780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7127F24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3D707EDC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3284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0C758F9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367" w:type="pct"/>
          </w:tcPr>
          <w:p w14:paraId="7A49BE70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1901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6B965A2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367" w:type="pct"/>
          </w:tcPr>
          <w:p w14:paraId="253C290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70D6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632" w:type="pct"/>
          </w:tcPr>
          <w:p w14:paraId="4FFCE38F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2367" w:type="pct"/>
          </w:tcPr>
          <w:p w14:paraId="244BA363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0A19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769D2B6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367" w:type="pct"/>
          </w:tcPr>
          <w:p w14:paraId="1E3E6981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331B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32" w:type="pct"/>
          </w:tcPr>
          <w:p w14:paraId="330C553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367" w:type="pct"/>
          </w:tcPr>
          <w:p w14:paraId="0716A386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1769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632" w:type="pct"/>
          </w:tcPr>
          <w:p w14:paraId="181A4844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367" w:type="pct"/>
          </w:tcPr>
          <w:p w14:paraId="1763D159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7F97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3215F2AF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367" w:type="pct"/>
          </w:tcPr>
          <w:p w14:paraId="4CB78D0A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63934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0D681355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6F698FFE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84433"/>
    <w:rsid w:val="277272C6"/>
    <w:rsid w:val="56384433"/>
    <w:rsid w:val="76B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2947</Words>
  <Characters>2990</Characters>
  <Lines>0</Lines>
  <Paragraphs>0</Paragraphs>
  <TotalTime>0</TotalTime>
  <ScaleCrop>false</ScaleCrop>
  <LinksUpToDate>false</LinksUpToDate>
  <CharactersWithSpaces>3179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2026-04-09T05:21:00Z</dcterms:created>
  <dc:creator>四方衡裕</dc:creator>
  <cp:lastModifiedBy>四方衡裕</cp:lastModifiedBy>
  <dcterms:modified xsi:type="dcterms:W3CDTF">2026-04-09T07:01:02Z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BE08C2F95B714A98B9B61DE519B701A4_13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