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版本号：XAZTBZFCG-2026-00420260430001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港务校区组团楼外墙清洗项目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XAZTBZFCG-2026-004</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陕西国铁经营服务有限公司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陕西国铁经营服务有限公司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港务校区组团楼外墙清洗项目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XAZTBZFCG-2026-004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港务校区组团楼外墙清洗项目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外墙清洗内容为西安铁路职业技术学院港务校区四栋教学楼、餐饮中心、实训楼和东大门的外立面清洗服务。清洗内容包括但不限于各楼宇外墙玻璃幕墙、塑钢玻璃窗、空调格栅、玻璃檐廊、护栏、外墙瓷砖、水泥砂浆防护层、石材、涂料等外墙立面附着物。彻底清除外立面的污垢和风化物，美化外墙面及墙面装饰物，养护外墙石材，延长外墙面的使用寿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采购包1（港务校区组团楼外墙清洗项目）：属于专门面向中小企业采购。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供应商应授权合法的人员参加磋商全过程，其中法定代表人直接参加磋商的，须出具法定代表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2、信誉：不得为“信用中国”网站(http://www.creditchina.gov.cn)列入“失信被执行人、税收违法黑名单、政府采购严重违法失信行为记录名单”的投标方；不得为中国政府采购网(http://www.ccgp.gov.cn)“政府采购严重违法失信行为记录名单”中的供应商</w:t>
      </w:r>
    </w:p>
    <w:p>
      <w:pPr>
        <w:pStyle w:val="null3"/>
      </w:pPr>
      <w:r>
        <w:rPr>
          <w:rFonts w:ascii="仿宋_GB2312" w:hAnsi="仿宋_GB2312" w:cs="仿宋_GB2312" w:eastAsia="仿宋_GB2312"/>
        </w:rPr>
        <w:t>3、本项目不接受联合体投标：本项目不接受联合体磋商，（投标主体为单一供应商，无需提供证明材料）</w:t>
      </w:r>
    </w:p>
    <w:p>
      <w:pPr>
        <w:pStyle w:val="null3"/>
      </w:pPr>
      <w:r>
        <w:rPr>
          <w:rFonts w:ascii="仿宋_GB2312" w:hAnsi="仿宋_GB2312" w:cs="仿宋_GB2312" w:eastAsia="仿宋_GB2312"/>
        </w:rPr>
        <w:t>4、是否面向中、小企业采购：本项目为专门面向中、小企业项目，供应商应为中型企业、小型企业或微型企业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029-88092219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陕西国铁经营服务有限公司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西安市碑林区友谊东路与兴庆西路十字西北角裙楼二楼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陈彦名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15229267500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说明：名称：西安市财政局预算单位实有资金财政代管账户 开户银行：中国建设银行股份有限公司西安莲湖路支行 银行账号：61001711100052518874-203033 纳税人识别号：12610100437202545W 地址、电话：西安市灞桥区港务大道396号 029-88092201</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向采购代理机构交纳招标代理服务费。采购代理服务费的收取参见国家计委颁布的《招标代理服务费收费管理暂行办法》（计价格[2002]1980号）中服务类的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陕西国铁经营服务有限公司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陕西国铁经营服务有限公司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陕西国铁经营服务有限公司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陕西国铁经营服务有限公司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陕西国铁经营服务有限公司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陕西国铁经营服务有限公司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联系人：陈先生</w:t>
      </w:r>
    </w:p>
    <w:p>
      <w:pPr>
        <w:pStyle w:val="null3"/>
      </w:pPr>
      <w:r>
        <w:rPr>
          <w:rFonts w:ascii="仿宋_GB2312" w:hAnsi="仿宋_GB2312" w:cs="仿宋_GB2312" w:eastAsia="仿宋_GB2312"/>
        </w:rPr>
        <w:t>联系电话：15229267500</w:t>
      </w:r>
    </w:p>
    <w:p>
      <w:pPr>
        <w:pStyle w:val="null3"/>
      </w:pPr>
      <w:r>
        <w:rPr>
          <w:rFonts w:ascii="仿宋_GB2312" w:hAnsi="仿宋_GB2312" w:cs="仿宋_GB2312" w:eastAsia="仿宋_GB2312"/>
        </w:rPr>
        <w:t>地址：西安市碑林区友谊东路与兴庆西路十字西北角裙楼二楼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外墙清洗内容为西安铁路职业技术学院港务校区四栋教学楼、餐饮中心、实训楼和东大门的外立面清洗服务。清洗内容包括但不限于各楼宇外墙玻璃幕墙、塑钢玻璃窗、空调格栅、玻璃檐廊、护栏、外墙瓷砖、水泥砂浆防护层、石材、涂料等外墙立面附着物。彻底清除外立面的污垢和风化物，美化外墙面及墙面装饰物，养护外墙石材，延长外墙面的使用寿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w:t>
      </w:r>
    </w:p>
    <w:p>
      <w:pPr>
        <w:pStyle w:val="null3"/>
      </w:pPr>
      <w:r>
        <w:rPr>
          <w:rFonts w:ascii="仿宋_GB2312" w:hAnsi="仿宋_GB2312" w:cs="仿宋_GB2312" w:eastAsia="仿宋_GB2312"/>
        </w:rPr>
        <w:t>采购包最高限价（元）: 220,000.00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港务校区组团楼外墙清洗项目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标的名称：港务校区组团楼外墙清洗项目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b/>
              </w:rPr>
              <w:t>一、项目概况</w:t>
            </w:r>
          </w:p>
          <w:p>
            <w:pPr>
              <w:pStyle w:val="null3"/>
              <w:ind w:firstLine="560"/>
              <w:jc w:val="both"/>
            </w:pPr>
            <w:r>
              <w:rPr>
                <w:rFonts w:ascii="仿宋_GB2312" w:hAnsi="仿宋_GB2312" w:cs="仿宋_GB2312" w:eastAsia="仿宋_GB2312"/>
                <w:sz w:val="28"/>
              </w:rPr>
              <w:t>本次外墙清洗内容为西安铁路职业技术学院港务校区四栋教学楼、餐饮中心、实训楼和东大门的外立面</w:t>
            </w:r>
            <w:r>
              <w:rPr>
                <w:rFonts w:ascii="仿宋_GB2312" w:hAnsi="仿宋_GB2312" w:cs="仿宋_GB2312" w:eastAsia="仿宋_GB2312"/>
                <w:sz w:val="28"/>
              </w:rPr>
              <w:t>清洗服务</w:t>
            </w:r>
            <w:r>
              <w:rPr>
                <w:rFonts w:ascii="仿宋_GB2312" w:hAnsi="仿宋_GB2312" w:cs="仿宋_GB2312" w:eastAsia="仿宋_GB2312"/>
                <w:sz w:val="28"/>
              </w:rPr>
              <w:t>。清洗内容包括但不限于各楼宇外墙</w:t>
            </w:r>
            <w:r>
              <w:rPr>
                <w:rFonts w:ascii="仿宋_GB2312" w:hAnsi="仿宋_GB2312" w:cs="仿宋_GB2312" w:eastAsia="仿宋_GB2312"/>
                <w:sz w:val="28"/>
              </w:rPr>
              <w:t>玻璃幕墙、</w:t>
            </w:r>
            <w:r>
              <w:rPr>
                <w:rFonts w:ascii="仿宋_GB2312" w:hAnsi="仿宋_GB2312" w:cs="仿宋_GB2312" w:eastAsia="仿宋_GB2312"/>
                <w:sz w:val="28"/>
              </w:rPr>
              <w:t>塑钢玻璃窗、空调</w:t>
            </w:r>
            <w:r>
              <w:rPr>
                <w:rFonts w:ascii="仿宋_GB2312" w:hAnsi="仿宋_GB2312" w:cs="仿宋_GB2312" w:eastAsia="仿宋_GB2312"/>
                <w:sz w:val="28"/>
              </w:rPr>
              <w:t>格栅</w:t>
            </w:r>
            <w:r>
              <w:rPr>
                <w:rFonts w:ascii="仿宋_GB2312" w:hAnsi="仿宋_GB2312" w:cs="仿宋_GB2312" w:eastAsia="仿宋_GB2312"/>
                <w:sz w:val="28"/>
              </w:rPr>
              <w:t>、玻璃檐廊、护</w:t>
            </w:r>
            <w:r>
              <w:rPr>
                <w:rFonts w:ascii="仿宋_GB2312" w:hAnsi="仿宋_GB2312" w:cs="仿宋_GB2312" w:eastAsia="仿宋_GB2312"/>
                <w:sz w:val="32"/>
              </w:rPr>
              <w:t>栏、</w:t>
            </w:r>
            <w:r>
              <w:rPr>
                <w:rFonts w:ascii="仿宋_GB2312" w:hAnsi="仿宋_GB2312" w:cs="仿宋_GB2312" w:eastAsia="仿宋_GB2312"/>
                <w:sz w:val="28"/>
              </w:rPr>
              <w:t>外墙瓷砖、水泥砂浆防护层、石材、涂料等外墙立面附着物。彻底清除外立面</w:t>
            </w:r>
            <w:r>
              <w:rPr>
                <w:rFonts w:ascii="仿宋_GB2312" w:hAnsi="仿宋_GB2312" w:cs="仿宋_GB2312" w:eastAsia="仿宋_GB2312"/>
                <w:sz w:val="28"/>
              </w:rPr>
              <w:t>的污垢和风化物，美化外墙面</w:t>
            </w:r>
            <w:r>
              <w:rPr>
                <w:rFonts w:ascii="仿宋_GB2312" w:hAnsi="仿宋_GB2312" w:cs="仿宋_GB2312" w:eastAsia="仿宋_GB2312"/>
                <w:sz w:val="28"/>
              </w:rPr>
              <w:t>及墙面装饰物</w:t>
            </w:r>
            <w:r>
              <w:rPr>
                <w:rFonts w:ascii="仿宋_GB2312" w:hAnsi="仿宋_GB2312" w:cs="仿宋_GB2312" w:eastAsia="仿宋_GB2312"/>
                <w:sz w:val="28"/>
              </w:rPr>
              <w:t>，养护外墙石材，延长外墙面的使用寿命。</w:t>
            </w:r>
          </w:p>
          <w:p>
            <w:pPr>
              <w:pStyle w:val="null3"/>
              <w:numPr>
                <w:ilvl w:val="0"/>
                <w:numId w:val="1"/>
              </w:numPr>
              <w:jc w:val="both"/>
            </w:pPr>
            <w:r>
              <w:rPr>
                <w:rFonts w:ascii="仿宋_GB2312" w:hAnsi="仿宋_GB2312" w:cs="仿宋_GB2312" w:eastAsia="仿宋_GB2312"/>
                <w:sz w:val="32"/>
                <w:b/>
              </w:rPr>
              <w:t>清洗内容与作业范围</w:t>
            </w:r>
          </w:p>
          <w:tbl>
            <w:tblPr>
              <w:tblBorders>
                <w:top w:val="none" w:color="000000" w:sz="4"/>
                <w:left w:val="none" w:color="000000" w:sz="4"/>
                <w:bottom w:val="none" w:color="000000" w:sz="4"/>
                <w:right w:val="none" w:color="000000" w:sz="4"/>
                <w:insideH w:val="none"/>
                <w:insideV w:val="none"/>
              </w:tblBorders>
            </w:tblPr>
            <w:tblGrid>
              <w:gridCol w:w="944"/>
              <w:gridCol w:w="817"/>
              <w:gridCol w:w="352"/>
              <w:gridCol w:w="1070"/>
            </w:tblGrid>
            <w:tr>
              <w:tc>
                <w:tcPr>
                  <w:tcW w:type="dxa" w:w="944"/>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楼宇名称</w:t>
                  </w:r>
                </w:p>
              </w:tc>
              <w:tc>
                <w:tcPr>
                  <w:tcW w:type="dxa" w:w="81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高度（米）</w:t>
                  </w:r>
                </w:p>
              </w:tc>
              <w:tc>
                <w:tcPr>
                  <w:tcW w:type="dxa" w:w="352"/>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层数</w:t>
                  </w:r>
                </w:p>
              </w:tc>
              <w:tc>
                <w:tcPr>
                  <w:tcW w:type="dxa" w:w="1070"/>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建筑面积（㎡）</w:t>
                  </w:r>
                </w:p>
              </w:tc>
            </w:tr>
            <w:tr>
              <w:tc>
                <w:tcPr>
                  <w:tcW w:type="dxa" w:w="944"/>
                  <w:vMerge/>
                  <w:tcBorders>
                    <w:top w:val="single" w:color="000000" w:sz="4"/>
                    <w:left w:val="single" w:color="000000" w:sz="4"/>
                    <w:bottom w:val="single" w:color="000000" w:sz="4"/>
                    <w:right w:val="single" w:color="000000" w:sz="4"/>
                  </w:tcBorders>
                </w:tcPr>
                <w:p/>
              </w:tc>
              <w:tc>
                <w:tcPr>
                  <w:tcW w:type="dxa" w:w="817"/>
                  <w:vMerge/>
                  <w:tcBorders>
                    <w:top w:val="single" w:color="000000" w:sz="4"/>
                    <w:left w:val="single" w:color="000000" w:sz="4"/>
                    <w:bottom w:val="single" w:color="000000" w:sz="4"/>
                    <w:right w:val="single" w:color="000000" w:sz="4"/>
                  </w:tcBorders>
                </w:tcPr>
                <w:p/>
              </w:tc>
              <w:tc>
                <w:tcPr>
                  <w:tcW w:type="dxa" w:w="352"/>
                  <w:vMerge/>
                  <w:tcBorders>
                    <w:top w:val="single" w:color="000000" w:sz="4"/>
                    <w:left w:val="single" w:color="000000" w:sz="4"/>
                    <w:bottom w:val="single" w:color="000000" w:sz="4"/>
                    <w:right w:val="single" w:color="000000" w:sz="4"/>
                  </w:tcBorders>
                </w:tcPr>
                <w:p/>
              </w:tc>
              <w:tc>
                <w:tcPr>
                  <w:tcW w:type="dxa" w:w="1070"/>
                  <w:vMerge/>
                  <w:tcBorders>
                    <w:top w:val="single" w:color="000000" w:sz="4"/>
                    <w:left w:val="single" w:color="000000" w:sz="4"/>
                    <w:bottom w:val="single" w:color="000000" w:sz="4"/>
                    <w:right w:val="single" w:color="000000" w:sz="4"/>
                  </w:tcBorders>
                </w:tcPr>
                <w:p/>
              </w:tc>
            </w:tr>
            <w:tr>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国际交通学院楼</w:t>
                  </w: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37.8</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10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15781.5</w:t>
                  </w:r>
                </w:p>
              </w:tc>
            </w:tr>
            <w:tr>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牵引动力学院楼</w:t>
                  </w: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37.8</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10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17870</w:t>
                  </w:r>
                </w:p>
              </w:tc>
            </w:tr>
            <w:tr>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机电工程学院楼</w:t>
                  </w: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37.8</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10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13373</w:t>
                  </w:r>
                </w:p>
              </w:tc>
            </w:tr>
            <w:tr>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电气工程学院楼</w:t>
                  </w: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37.8</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10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15781.5</w:t>
                  </w:r>
                </w:p>
              </w:tc>
            </w:tr>
            <w:tr>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实训楼</w:t>
                  </w: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12.8</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10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8645</w:t>
                  </w:r>
                </w:p>
              </w:tc>
            </w:tr>
            <w:tr>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餐饮中心楼</w:t>
                  </w: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12.4</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0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7519</w:t>
                  </w:r>
                </w:p>
              </w:tc>
            </w:tr>
            <w:tr>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东大门</w:t>
                  </w: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7.75</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0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366</w:t>
                  </w:r>
                </w:p>
              </w:tc>
            </w:tr>
          </w:tbl>
          <w:p>
            <w:pPr>
              <w:pStyle w:val="null3"/>
              <w:ind w:firstLine="480"/>
              <w:jc w:val="both"/>
            </w:pPr>
            <w:r>
              <w:rPr>
                <w:rFonts w:ascii="仿宋_GB2312" w:hAnsi="仿宋_GB2312" w:cs="仿宋_GB2312" w:eastAsia="仿宋_GB2312"/>
                <w:sz w:val="24"/>
                <w:b/>
              </w:rPr>
              <w:t>建议投标人必须进行现场踏勘，并在技术标中标注不同作业区域对应工法，有效筛选出专业，有实力的供应商，避免后续发生低价中标后偷工减料降低服务质量而发生的服务纠纷。</w:t>
            </w:r>
          </w:p>
          <w:p>
            <w:pPr>
              <w:pStyle w:val="null3"/>
              <w:numPr>
                <w:ilvl w:val="0"/>
                <w:numId w:val="1"/>
              </w:numPr>
              <w:jc w:val="both"/>
            </w:pPr>
            <w:r>
              <w:rPr>
                <w:rFonts w:ascii="仿宋_GB2312" w:hAnsi="仿宋_GB2312" w:cs="仿宋_GB2312" w:eastAsia="仿宋_GB2312"/>
                <w:sz w:val="32"/>
                <w:b/>
              </w:rPr>
              <w:t>服务</w:t>
            </w:r>
            <w:r>
              <w:rPr>
                <w:rFonts w:ascii="仿宋_GB2312" w:hAnsi="仿宋_GB2312" w:cs="仿宋_GB2312" w:eastAsia="仿宋_GB2312"/>
                <w:sz w:val="32"/>
                <w:b/>
              </w:rPr>
              <w:t>要求</w:t>
            </w:r>
            <w:r>
              <w:rPr>
                <w:rFonts w:ascii="仿宋_GB2312" w:hAnsi="仿宋_GB2312" w:cs="仿宋_GB2312" w:eastAsia="仿宋_GB2312"/>
                <w:sz w:val="32"/>
                <w:b/>
              </w:rPr>
              <w:t>及</w:t>
            </w:r>
            <w:r>
              <w:rPr>
                <w:rFonts w:ascii="仿宋_GB2312" w:hAnsi="仿宋_GB2312" w:cs="仿宋_GB2312" w:eastAsia="仿宋_GB2312"/>
                <w:sz w:val="32"/>
                <w:b/>
              </w:rPr>
              <w:t>技术</w:t>
            </w:r>
            <w:r>
              <w:rPr>
                <w:rFonts w:ascii="仿宋_GB2312" w:hAnsi="仿宋_GB2312" w:cs="仿宋_GB2312" w:eastAsia="仿宋_GB2312"/>
                <w:sz w:val="32"/>
                <w:b/>
              </w:rPr>
              <w:t>规范</w:t>
            </w:r>
          </w:p>
          <w:p>
            <w:pPr>
              <w:pStyle w:val="null3"/>
              <w:ind w:firstLine="560"/>
            </w:pPr>
            <w:r>
              <w:rPr>
                <w:rFonts w:ascii="仿宋_GB2312" w:hAnsi="仿宋_GB2312" w:cs="仿宋_GB2312" w:eastAsia="仿宋_GB2312"/>
                <w:sz w:val="28"/>
              </w:rPr>
              <w:t>1、外墙清洗服务应符合行业标准-陕西省《清洗保洁服务规范第2部分:建筑物外墙清洗服务规范》(SDBXM109-2016)</w:t>
            </w:r>
          </w:p>
          <w:p>
            <w:pPr>
              <w:pStyle w:val="null3"/>
              <w:ind w:firstLine="560"/>
            </w:pPr>
            <w:r>
              <w:rPr>
                <w:rFonts w:ascii="仿宋_GB2312" w:hAnsi="仿宋_GB2312" w:cs="仿宋_GB2312" w:eastAsia="仿宋_GB2312"/>
                <w:sz w:val="28"/>
              </w:rPr>
              <w:t>2、保洁人员进场要求：保洁人员服装应统一、佩带工牌（带相片）上岗。</w:t>
            </w:r>
          </w:p>
          <w:p>
            <w:pPr>
              <w:pStyle w:val="null3"/>
              <w:ind w:firstLine="560"/>
            </w:pPr>
            <w:r>
              <w:rPr>
                <w:rFonts w:ascii="仿宋_GB2312" w:hAnsi="仿宋_GB2312" w:cs="仿宋_GB2312" w:eastAsia="仿宋_GB2312"/>
                <w:sz w:val="28"/>
              </w:rPr>
              <w:t>3、乙方应向本项目派驻现场负责人，负责办公区清洁工作及人员调配，并收集甲方意见及其他通知，负责向乙方传达、跟进结果并及时向甲方反馈，任何有关甲方清洁投诉均应及时处理，必须严格执行甲方清洁管理工作。</w:t>
            </w:r>
          </w:p>
          <w:p>
            <w:pPr>
              <w:pStyle w:val="null3"/>
              <w:ind w:firstLine="560"/>
            </w:pPr>
            <w:r>
              <w:rPr>
                <w:rFonts w:ascii="仿宋_GB2312" w:hAnsi="仿宋_GB2312" w:cs="仿宋_GB2312" w:eastAsia="仿宋_GB2312"/>
                <w:sz w:val="28"/>
              </w:rPr>
              <w:t>4、清洁后表面洁净光亮，无水痕、手印、污渍、灰尘及付着物。清洁后无损伤玻璃及周边装饰材料。</w:t>
            </w:r>
          </w:p>
          <w:p>
            <w:pPr>
              <w:pStyle w:val="null3"/>
              <w:ind w:firstLine="560"/>
            </w:pPr>
            <w:r>
              <w:rPr>
                <w:rFonts w:ascii="仿宋_GB2312" w:hAnsi="仿宋_GB2312" w:cs="仿宋_GB2312" w:eastAsia="仿宋_GB2312"/>
                <w:sz w:val="28"/>
              </w:rPr>
              <w:t>5、清洗人员须持有相关证专业资格证，严禁无证操作。</w:t>
            </w:r>
          </w:p>
          <w:p>
            <w:pPr>
              <w:pStyle w:val="null3"/>
              <w:numPr>
                <w:ilvl w:val="0"/>
                <w:numId w:val="1"/>
              </w:numPr>
              <w:jc w:val="both"/>
            </w:pPr>
            <w:r>
              <w:rPr>
                <w:rFonts w:ascii="仿宋_GB2312" w:hAnsi="仿宋_GB2312" w:cs="仿宋_GB2312" w:eastAsia="仿宋_GB2312"/>
                <w:sz w:val="32"/>
                <w:b/>
              </w:rPr>
              <w:t>安全责任</w:t>
            </w:r>
          </w:p>
          <w:p>
            <w:pPr>
              <w:pStyle w:val="null3"/>
              <w:ind w:firstLine="560"/>
            </w:pPr>
            <w:r>
              <w:rPr>
                <w:rFonts w:ascii="仿宋_GB2312" w:hAnsi="仿宋_GB2312" w:cs="仿宋_GB2312" w:eastAsia="仿宋_GB2312"/>
                <w:sz w:val="28"/>
              </w:rPr>
              <w:t>（一）安全规范：</w:t>
            </w:r>
          </w:p>
          <w:p>
            <w:pPr>
              <w:pStyle w:val="null3"/>
              <w:ind w:firstLine="560"/>
            </w:pPr>
            <w:r>
              <w:rPr>
                <w:rFonts w:ascii="仿宋_GB2312" w:hAnsi="仿宋_GB2312" w:cs="仿宋_GB2312" w:eastAsia="仿宋_GB2312"/>
                <w:sz w:val="28"/>
              </w:rPr>
              <w:t>1.清洗服务过程中必须配备并正确使用必要的安全防护装备。</w:t>
            </w:r>
          </w:p>
          <w:p>
            <w:pPr>
              <w:pStyle w:val="null3"/>
              <w:ind w:firstLine="560"/>
            </w:pPr>
            <w:r>
              <w:rPr>
                <w:rFonts w:ascii="仿宋_GB2312" w:hAnsi="仿宋_GB2312" w:cs="仿宋_GB2312" w:eastAsia="仿宋_GB2312"/>
                <w:sz w:val="28"/>
              </w:rPr>
              <w:t>2.高空作业：必须严格执行《高处作业安全规范》，设置专人监护，使用符合安全标准的吊篮或安全带等高空作业设备。</w:t>
            </w:r>
          </w:p>
          <w:p>
            <w:pPr>
              <w:pStyle w:val="null3"/>
              <w:ind w:firstLine="560"/>
            </w:pPr>
            <w:r>
              <w:rPr>
                <w:rFonts w:ascii="仿宋_GB2312" w:hAnsi="仿宋_GB2312" w:cs="仿宋_GB2312" w:eastAsia="仿宋_GB2312"/>
                <w:sz w:val="28"/>
              </w:rPr>
              <w:t>（二）安全责任：</w:t>
            </w:r>
          </w:p>
          <w:p>
            <w:pPr>
              <w:pStyle w:val="null3"/>
              <w:ind w:firstLine="560"/>
            </w:pPr>
            <w:r>
              <w:rPr>
                <w:rFonts w:ascii="仿宋_GB2312" w:hAnsi="仿宋_GB2312" w:cs="仿宋_GB2312" w:eastAsia="仿宋_GB2312"/>
                <w:sz w:val="28"/>
              </w:rPr>
              <w:t>1.服务商应对其员工进行全面的安全教育，并承担维修服务过程中因供应商原因（包括但不限于操作不当、安全措施不到位、工具设备缺陷等）所引发的一切安全事故的全部责任。</w:t>
            </w:r>
          </w:p>
          <w:p>
            <w:pPr>
              <w:pStyle w:val="null3"/>
              <w:ind w:firstLine="560"/>
            </w:pPr>
            <w:r>
              <w:rPr>
                <w:rFonts w:ascii="仿宋_GB2312" w:hAnsi="仿宋_GB2312" w:cs="仿宋_GB2312" w:eastAsia="仿宋_GB2312"/>
                <w:sz w:val="28"/>
              </w:rPr>
              <w:t>2.此责任包括但不限于：服务商人员的人身伤亡责任；对第三方（学生、教职工等）造成的人身伤害与财产损失赔偿责任；对学校建筑物、设备设施造成的损坏赔偿责任。</w:t>
            </w:r>
          </w:p>
          <w:p>
            <w:pPr>
              <w:pStyle w:val="null3"/>
              <w:ind w:firstLine="560"/>
            </w:pPr>
            <w:r>
              <w:rPr>
                <w:rFonts w:ascii="仿宋_GB2312" w:hAnsi="仿宋_GB2312" w:cs="仿宋_GB2312" w:eastAsia="仿宋_GB2312"/>
                <w:sz w:val="28"/>
              </w:rPr>
              <w:t>3.因服务商原因导致采购人被卷入诉讼或行政处罚的，采购人因此遭受的全部损失（包括但不限于赔偿款、律师费、诉讼费等）均由供应商承担。</w:t>
            </w:r>
          </w:p>
          <w:p>
            <w:pPr>
              <w:pStyle w:val="null3"/>
              <w:ind w:firstLine="560"/>
            </w:pPr>
            <w:r>
              <w:rPr>
                <w:rFonts w:ascii="仿宋_GB2312" w:hAnsi="仿宋_GB2312" w:cs="仿宋_GB2312" w:eastAsia="仿宋_GB2312"/>
                <w:sz w:val="28"/>
              </w:rPr>
              <w:t>（三）保险要求：供应商必须为其员工购买保险并在整个合同期内持续保</w:t>
            </w:r>
          </w:p>
          <w:p>
            <w:pPr>
              <w:pStyle w:val="null3"/>
              <w:ind w:firstLine="560"/>
            </w:pPr>
            <w:r>
              <w:rPr>
                <w:rFonts w:ascii="仿宋_GB2312" w:hAnsi="仿宋_GB2312" w:cs="仿宋_GB2312" w:eastAsia="仿宋_GB2312"/>
                <w:sz w:val="28"/>
              </w:rPr>
              <w:t>1.安全生产责任险或雇主责任险，保额不低于人民币100万元/人。</w:t>
            </w:r>
          </w:p>
          <w:p>
            <w:pPr>
              <w:pStyle w:val="null3"/>
              <w:ind w:firstLine="560"/>
            </w:pPr>
            <w:r>
              <w:rPr>
                <w:rFonts w:ascii="仿宋_GB2312" w:hAnsi="仿宋_GB2312" w:cs="仿宋_GB2312" w:eastAsia="仿宋_GB2312"/>
                <w:sz w:val="28"/>
              </w:rPr>
              <w:t>2.公众责任险，累计赔偿限额不低于人民币500万元。</w:t>
            </w:r>
          </w:p>
          <w:p>
            <w:pPr>
              <w:pStyle w:val="null3"/>
              <w:ind w:firstLine="640"/>
              <w:jc w:val="both"/>
            </w:pPr>
            <w:r>
              <w:rPr>
                <w:rFonts w:ascii="仿宋_GB2312" w:hAnsi="仿宋_GB2312" w:cs="仿宋_GB2312" w:eastAsia="仿宋_GB2312"/>
                <w:sz w:val="32"/>
                <w:b/>
              </w:rPr>
              <w:t>五</w:t>
            </w:r>
            <w:r>
              <w:rPr>
                <w:rFonts w:ascii="仿宋_GB2312" w:hAnsi="仿宋_GB2312" w:cs="仿宋_GB2312" w:eastAsia="仿宋_GB2312"/>
                <w:sz w:val="32"/>
                <w:b/>
              </w:rPr>
              <w:t>、商务要求</w:t>
            </w:r>
          </w:p>
          <w:p>
            <w:pPr>
              <w:pStyle w:val="null3"/>
              <w:ind w:firstLine="560"/>
            </w:pPr>
            <w:r>
              <w:rPr>
                <w:rFonts w:ascii="仿宋_GB2312" w:hAnsi="仿宋_GB2312" w:cs="仿宋_GB2312" w:eastAsia="仿宋_GB2312"/>
                <w:sz w:val="28"/>
              </w:rPr>
              <w:t>（一）服务期限</w:t>
            </w:r>
          </w:p>
          <w:p>
            <w:pPr>
              <w:pStyle w:val="null3"/>
              <w:ind w:firstLine="560"/>
            </w:pPr>
            <w:r>
              <w:rPr>
                <w:rFonts w:ascii="仿宋_GB2312" w:hAnsi="仿宋_GB2312" w:cs="仿宋_GB2312" w:eastAsia="仿宋_GB2312"/>
                <w:sz w:val="28"/>
              </w:rPr>
              <w:t>工期：合同签订后</w:t>
            </w:r>
            <w:r>
              <w:rPr>
                <w:rFonts w:ascii="仿宋_GB2312" w:hAnsi="仿宋_GB2312" w:cs="仿宋_GB2312" w:eastAsia="仿宋_GB2312"/>
                <w:sz w:val="28"/>
                <w:b/>
              </w:rPr>
              <w:t>5个日历日</w:t>
            </w:r>
            <w:r>
              <w:rPr>
                <w:rFonts w:ascii="仿宋_GB2312" w:hAnsi="仿宋_GB2312" w:cs="仿宋_GB2312" w:eastAsia="仿宋_GB2312"/>
                <w:sz w:val="28"/>
              </w:rPr>
              <w:t>完成全部内容。</w:t>
            </w:r>
          </w:p>
          <w:p>
            <w:pPr>
              <w:pStyle w:val="null3"/>
              <w:ind w:firstLine="560"/>
            </w:pPr>
            <w:r>
              <w:rPr>
                <w:rFonts w:ascii="仿宋_GB2312" w:hAnsi="仿宋_GB2312" w:cs="仿宋_GB2312" w:eastAsia="仿宋_GB2312"/>
                <w:sz w:val="28"/>
              </w:rPr>
              <w:t>（二）款项结算</w:t>
            </w:r>
          </w:p>
          <w:p>
            <w:pPr>
              <w:pStyle w:val="null3"/>
              <w:ind w:firstLine="560"/>
            </w:pPr>
            <w:r>
              <w:rPr>
                <w:rFonts w:ascii="仿宋_GB2312" w:hAnsi="仿宋_GB2312" w:cs="仿宋_GB2312" w:eastAsia="仿宋_GB2312"/>
                <w:sz w:val="28"/>
              </w:rPr>
              <w:t>完成项目全部内容并验收合格后，供应商持全额发票，到甲方办理结账手续。</w:t>
            </w:r>
          </w:p>
          <w:p>
            <w:pPr>
              <w:pStyle w:val="null3"/>
              <w:ind w:firstLine="560"/>
              <w:jc w:val="both"/>
            </w:pPr>
            <w:r>
              <w:rPr>
                <w:rFonts w:ascii="仿宋_GB2312" w:hAnsi="仿宋_GB2312" w:cs="仿宋_GB2312" w:eastAsia="仿宋_GB2312"/>
                <w:sz w:val="28"/>
              </w:rPr>
              <w:t>六</w:t>
            </w:r>
            <w:r>
              <w:rPr>
                <w:rFonts w:ascii="仿宋_GB2312" w:hAnsi="仿宋_GB2312" w:cs="仿宋_GB2312" w:eastAsia="仿宋_GB2312"/>
                <w:sz w:val="28"/>
              </w:rPr>
              <w:t>、其他</w:t>
            </w:r>
          </w:p>
          <w:p>
            <w:pPr>
              <w:pStyle w:val="null3"/>
              <w:ind w:right="120" w:firstLine="560"/>
            </w:pPr>
            <w:r>
              <w:rPr>
                <w:rFonts w:ascii="仿宋_GB2312" w:hAnsi="仿宋_GB2312" w:cs="仿宋_GB2312" w:eastAsia="仿宋_GB2312"/>
                <w:sz w:val="28"/>
              </w:rPr>
              <w:t>（一）服务商需提供三年内相关服务案例，并提供相关服务合同。</w:t>
            </w:r>
          </w:p>
          <w:p>
            <w:pPr>
              <w:pStyle w:val="null3"/>
              <w:ind w:right="120" w:firstLine="560"/>
            </w:pPr>
            <w:r>
              <w:rPr>
                <w:rFonts w:ascii="仿宋_GB2312" w:hAnsi="仿宋_GB2312" w:cs="仿宋_GB2312" w:eastAsia="仿宋_GB2312"/>
                <w:sz w:val="28"/>
              </w:rPr>
              <w:t>（二）质量验收标准（参考行业标准）。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合同签订后5个日历日完成全部内容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质量验收标准（参考行业标准）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完成项目全部内容并验收合格后，供应商持全额发票，到甲方办理结账手续。</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资格响应表.docx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资格响应表.docx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不得为“信用中国”网站(http://www.creditchina.gov.cn)列入“失信被执行人、税收违法黑名单、政府采购严重违法失信行为记录名单”的投标方；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本项目不接受联合体磋商，（投标主体为单一供应商，无需提供证明材料）</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本项目为专门面向中、小企业项目，供应商应为中型企业、小型企业或微型企业</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磋商报价表及分项报价表.docx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合同签订后5个日历日完成全部内容</w:t>
            </w:r>
          </w:p>
        </w:tc>
        <w:tc>
          <w:tcPr>
            <w:tcW w:type="dxa" w:w="1661"/>
          </w:tcPr>
          <w:p>
            <w:pPr>
              <w:pStyle w:val="null3"/>
            </w:pPr>
            <w:r>
              <w:rPr>
                <w:rFonts w:ascii="仿宋_GB2312" w:hAnsi="仿宋_GB2312" w:cs="仿宋_GB2312" w:eastAsia="仿宋_GB2312"/>
              </w:rPr>
              <w:t>商务及技术偏离表.docx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完成项目全部内容并验收合格后，供应商持全额发票，到甲方办理结账手续。</w:t>
            </w:r>
          </w:p>
        </w:tc>
        <w:tc>
          <w:tcPr>
            <w:tcW w:type="dxa" w:w="1661"/>
          </w:tcPr>
          <w:p>
            <w:pPr>
              <w:pStyle w:val="null3"/>
            </w:pPr>
            <w:r>
              <w:rPr>
                <w:rFonts w:ascii="仿宋_GB2312" w:hAnsi="仿宋_GB2312" w:cs="仿宋_GB2312" w:eastAsia="仿宋_GB2312"/>
              </w:rPr>
              <w:t>商务及技术偏离表.docx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90个日历日</w:t>
            </w:r>
          </w:p>
        </w:tc>
        <w:tc>
          <w:tcPr>
            <w:tcW w:type="dxa" w:w="1661"/>
          </w:tcPr>
          <w:p>
            <w:pPr>
              <w:pStyle w:val="null3"/>
            </w:pPr>
            <w:r>
              <w:rPr>
                <w:rFonts w:ascii="仿宋_GB2312" w:hAnsi="仿宋_GB2312" w:cs="仿宋_GB2312" w:eastAsia="仿宋_GB2312"/>
              </w:rPr>
              <w:t>商务及技术偏离表.docx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整体工作方案</w:t>
            </w:r>
          </w:p>
        </w:tc>
        <w:tc>
          <w:tcPr>
            <w:tcW w:type="dxa" w:w="2492"/>
          </w:tcPr>
          <w:p>
            <w:pPr>
              <w:pStyle w:val="null3"/>
            </w:pPr>
            <w:r>
              <w:rPr>
                <w:rFonts w:ascii="仿宋_GB2312" w:hAnsi="仿宋_GB2312" w:cs="仿宋_GB2312" w:eastAsia="仿宋_GB2312"/>
              </w:rPr>
              <w:t>（一）评审内容 根据供应商对制定的总体工作方案进行评分：（包括但不限于①安全执行标准②检验检查；③日常维护措施及责任范围方案）等方面，按其响应程度进行综合赋分。 （二）赋分标准（满分9分） （1）每有一项内容进行了详细阐述且完全满足项目需求的，得3分； （2）每有一项内容进行了阐述且基本满足项目需求的，得2分； （3）每有一项内容进行了阐述但并未完全满足项目需求，或内容未包括细节或措施的，得1分； （4）每有一项内容未进行阐述或阐述内容无法满足项目需求的，得0分。注：（每项存在缺陷扣0.5分，扣完为止）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1、保洁过程中所提供的设备，是否符合国内相关标准。 2、供应商应有24小时响应服务，设立24 小时值班电话，有安全有效的故障处理措施。 3、对供应商服务保障体系、响应计划进行评审。 4、本项目所涉及的清洁工作有针对性的措施。 注：每项1分，满分4分。缺少任意一项视为无效、信息不一致，该项不得分。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清洗方案（一）</w:t>
            </w:r>
          </w:p>
        </w:tc>
        <w:tc>
          <w:tcPr>
            <w:tcW w:type="dxa" w:w="2492"/>
          </w:tcPr>
          <w:p>
            <w:pPr>
              <w:pStyle w:val="null3"/>
            </w:pPr>
            <w:r>
              <w:rPr>
                <w:rFonts w:ascii="仿宋_GB2312" w:hAnsi="仿宋_GB2312" w:cs="仿宋_GB2312" w:eastAsia="仿宋_GB2312"/>
              </w:rPr>
              <w:t>（一）评审内容 对外墙玻璃幕墙的清洗服务方案，方案内容包含①清洗保养、安全检查、运行状况检查；②组织安排合理，维护进度安排；③应急方案④工作制度、巡检制度；⑤工具设备）等方面，按其响应程度进行综合赋分。 （二）赋分标准（满分10分）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（4）每有一项内容未进行阐述或阐述内容无法满足项目需求的，得0分。注：（每项存在缺陷扣0.5分，扣完为止）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清洗方案（二）</w:t>
            </w:r>
          </w:p>
        </w:tc>
        <w:tc>
          <w:tcPr>
            <w:tcW w:type="dxa" w:w="2492"/>
          </w:tcPr>
          <w:p>
            <w:pPr>
              <w:pStyle w:val="null3"/>
            </w:pPr>
            <w:r>
              <w:rPr>
                <w:rFonts w:ascii="仿宋_GB2312" w:hAnsi="仿宋_GB2312" w:cs="仿宋_GB2312" w:eastAsia="仿宋_GB2312"/>
              </w:rPr>
              <w:t>（一）评审内容 对塑钢玻璃窗、空调格栅、玻璃檐廊、护栏的清洗方案，方案内容包含①清洗保养、安全检查、运行状况检查②组织安排合理，维护进度安排③应急方案④工作制度、巡检制度。⑤工具设备）等方面，按其响应程度进行综合赋分。 （二）赋分标准（满分10分）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（4）每有一项内容未进行阐述或阐述内容无法满足项目需求的，得0分。注：（每项存在缺陷扣0.5分，扣完为止）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清洗方案（三）</w:t>
            </w:r>
          </w:p>
        </w:tc>
        <w:tc>
          <w:tcPr>
            <w:tcW w:type="dxa" w:w="2492"/>
          </w:tcPr>
          <w:p>
            <w:pPr>
              <w:pStyle w:val="null3"/>
            </w:pPr>
            <w:r>
              <w:rPr>
                <w:rFonts w:ascii="仿宋_GB2312" w:hAnsi="仿宋_GB2312" w:cs="仿宋_GB2312" w:eastAsia="仿宋_GB2312"/>
              </w:rPr>
              <w:t>（一）评审内容 对外墙瓷砖、水泥砂浆防护层、石材、涂料等外墙立面附着物的清洁方案，方案内容包含①卫生间清洗保养、安全检查、运行状况检查②组织安排合理，维护进度安排③应急方案④工作制度、巡检制度⑤工具设备）等方面，按其响应程度进行综合赋分。 （二）赋分标准（满分10分）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（4）每有一项内容未进行阐述或阐述内容无法满足项目需求的，得0分。注：（每项存在缺陷扣0.5分，扣完为止）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 根据各供应商提供的安全文明施工保障措施，需包含安全管理制度（包括但不限于①安全交底制度②安全巡查制度③防护措施（如高空作业安全带配备、安全网设置标准）④清洗施工时安全围挡证明材料）等方面，按其响应程度进行综合赋分。 （二）赋分标准（满分12分） （1）每有一项内容进行了详细阐述且完全满足项目需求的，得3分； （2）每有一项内容进行了阐述且基本满足项目需求的，得2分； （3）每有一项内容进行了阐述但并未完全满足项目需求，或内容未包括细节或措施的，得1分； （4）每有一项内容未进行阐述或阐述内容无法满足项目需求的，得0分。 注：1.清洗施工时安全围挡证明材料，需提供围挡设计图、现场照片，明确围挡高度、警示标识设置要求。注：（每项存在缺陷扣0.5分，扣完为止）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针对本项目服务制定具体的服务承诺（包括但不限于①服务的响应时间；②所提供服务的重点及难点解决措施），等方面，按其响应程度进行综合赋分。 （二）赋分标准（满分4分）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（4）每有一项内容未进行阐述或阐述内容无法满足项目需求的，得0分。注：（每项存在缺陷扣0.5分，扣完为止）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服务团队人员</w:t>
            </w:r>
          </w:p>
        </w:tc>
        <w:tc>
          <w:tcPr>
            <w:tcW w:type="dxa" w:w="2492"/>
          </w:tcPr>
          <w:p>
            <w:pPr>
              <w:pStyle w:val="null3"/>
            </w:pPr>
            <w:r>
              <w:rPr>
                <w:rFonts w:ascii="仿宋_GB2312" w:hAnsi="仿宋_GB2312" w:cs="仿宋_GB2312" w:eastAsia="仿宋_GB2312"/>
              </w:rPr>
              <w:t>（一）评审内容 （1）针对玻璃幕墙清洗等高空作业，操作人员必须持有应急管理部门核发的《特种作业操作证》（作业类别：高处作业。操作项目：高处安装、维护、拆除作业），不少于5人，必须包含人员身份证及《特种作业操作证》等必要信息。满足要求得4分，不满足不得分。 （2）除高空作业人员以外的其他团队成员，必须包含人员身份证或有效期内的其他证件等必要信息。 （2.1）赋分标准（满分5分） ①人员配备的职能、数量充沛且完全满足项目需求的，得5分； ②人员配备的职能、数量合理且基本满足项目需求的，得3分； ③人员配备的职能、数量较合理但并未完全满足项目需求，得1分； ④人员配备的职能、数量不合理无法满足项目需求的，得0分。 注：（每项存在缺陷扣0.5分，扣完为止）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应急管理方案</w:t>
            </w:r>
          </w:p>
        </w:tc>
        <w:tc>
          <w:tcPr>
            <w:tcW w:type="dxa" w:w="2492"/>
          </w:tcPr>
          <w:p>
            <w:pPr>
              <w:pStyle w:val="null3"/>
            </w:pPr>
            <w:r>
              <w:rPr>
                <w:rFonts w:ascii="仿宋_GB2312" w:hAnsi="仿宋_GB2312" w:cs="仿宋_GB2312" w:eastAsia="仿宋_GB2312"/>
              </w:rPr>
              <w:t>（一）评审内容 1、针对本项目特点提供应急预案，预案内容包含①恶劣天气（包含暴雨暴雪天气）、停水、停电、防火、水浸、设施设备损坏及漏水；②公共卫生事件及紧急事件 （二）赋分标准（满分6分） （1）每有一项内容进行了详细阐述且完全满足项目需求的，得3分； （2）每有一项内容进行了阐述且基本满足项目需求的，得2分； （3）每有一项内容进行了阐述但并未完全满足项目需求，或内容未包括细节或措施的，得1分； （4）每有一项内容未进行阐述或阐述内容无法满足项目需求的，得0分。注：（每项存在缺陷扣0.5分，扣完为止）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成本控制方案</w:t>
            </w:r>
          </w:p>
        </w:tc>
        <w:tc>
          <w:tcPr>
            <w:tcW w:type="dxa" w:w="2492"/>
          </w:tcPr>
          <w:p>
            <w:pPr>
              <w:pStyle w:val="null3"/>
            </w:pPr>
            <w:r>
              <w:rPr>
                <w:rFonts w:ascii="仿宋_GB2312" w:hAnsi="仿宋_GB2312" w:cs="仿宋_GB2312" w:eastAsia="仿宋_GB2312"/>
              </w:rPr>
              <w:t>（一）评审内容 供应商应提供合理的价格方案，进行成本控制（包括但不限于①问题分析；②具体措施；③最终目标）等方面，按其响应程度进行综合赋分。 （二）赋分标准（满分6分）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（4）每有一项内容未进行阐述或阐述内容无法满足项目需求的，得0分。注：（每项存在缺陷扣0.5分，扣完为止）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 日以来（以合同签订或中标通知书时间为准，否则不得分）类似项目的业绩证明文件，提供1个得2分，最多得10分。 注：以合同或中标通知书复印件加盖公章为准。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服务方案、人员表及供应商认为有必要提供的其他内容.docx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1.满足磋商文件实质性要求且最后报价最低的供应商磋商单价合计（即各项单价的总和）为投标基准价，其价格分为满分10分。 2.报价得分=（评审基准价/磋商单价合计）×10。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详见附件：磋商报价表及分项报价表.docx</w:t>
      </w:r>
    </w:p>
    <w:p>
      <w:pPr>
        <w:pStyle w:val="null3"/>
        <w:ind w:firstLine="960"/>
      </w:pPr>
      <w:r>
        <w:rPr>
          <w:rFonts w:ascii="仿宋_GB2312" w:hAnsi="仿宋_GB2312" w:cs="仿宋_GB2312" w:eastAsia="仿宋_GB2312"/>
        </w:rPr>
        <w:t>详见附件：服务方案、人员表及供应商认为有必要提供的其他内容.docx</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详见附件：【服务】港务校区组团楼外墙清洗项目 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