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版本号：ZJCG2026-04-0120260408001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东市遗址考古发掘</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ZJCG2026-04-01</w:t>
      </w:r>
      <w:r>
        <w:br/>
      </w:r>
      <w:r>
        <w:br/>
      </w:r>
      <w:r>
        <w:br/>
      </w:r>
    </w:p>
    <w:p>
      <w:pPr>
        <w:pStyle w:val="null3"/>
        <w:jc w:val="center"/>
        <w:outlineLvl w:val="5"/>
      </w:pPr>
      <w:r>
        <w:rPr>
          <w:rFonts w:ascii="仿宋_GB2312" w:hAnsi="仿宋_GB2312" w:cs="仿宋_GB2312" w:eastAsia="仿宋_GB2312"/>
          <w:sz w:val="15"/>
          <w:b/>
        </w:rPr>
        <w:t>西安市隋唐长安城遗址保护中心</w:t>
      </w:r>
    </w:p>
    <w:p>
      <w:pPr>
        <w:pStyle w:val="null3"/>
        <w:jc w:val="center"/>
        <w:outlineLvl w:val="5"/>
      </w:pPr>
      <w:r>
        <w:rPr>
          <w:rFonts w:ascii="仿宋_GB2312" w:hAnsi="仿宋_GB2312" w:cs="仿宋_GB2312" w:eastAsia="仿宋_GB2312"/>
          <w:sz w:val="15"/>
          <w:b/>
        </w:rPr>
        <w:t>陕西贞吉建设项目管理有限公司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陕西贞吉建设项目管理有限公司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西安市隋唐长安城遗址保护中心</w:t>
      </w:r>
      <w:r>
        <w:rPr>
          <w:rFonts w:ascii="仿宋_GB2312" w:hAnsi="仿宋_GB2312" w:cs="仿宋_GB2312" w:eastAsia="仿宋_GB2312"/>
        </w:rPr>
        <w:t>委托，拟对</w:t>
      </w:r>
      <w:r>
        <w:rPr>
          <w:rFonts w:ascii="仿宋_GB2312" w:hAnsi="仿宋_GB2312" w:cs="仿宋_GB2312" w:eastAsia="仿宋_GB2312"/>
        </w:rPr>
        <w:t>东市遗址考古发掘</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ZJCG2026-04-01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东市遗址考古发掘</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隋大兴唐长安城遗址是1996年国务院公布的第四批全国重点文物保护单位，是中古时代东方规模最大的城市，也是著名的丝绸之路起点。东市是隋唐长安城最重要的商业区之一，随着城市建设的推进，东市遗址的部分区域再次被揭露出来。本次采购的东市遗址考古发掘面积1000平方米。</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谈判的，须出具法定代表人（负责人）身份证明书及身份证正反两面扫描件；法定代表人（负责人）授权委托代理人参加谈判的，须出具法定代表人（负责人）授权委托书及委托代理人身份证正反两面扫描件；</w:t>
      </w:r>
    </w:p>
    <w:p>
      <w:pPr>
        <w:pStyle w:val="null3"/>
      </w:pPr>
      <w:r>
        <w:rPr>
          <w:rFonts w:ascii="仿宋_GB2312" w:hAnsi="仿宋_GB2312" w:cs="仿宋_GB2312" w:eastAsia="仿宋_GB2312"/>
        </w:rPr>
        <w:t>3、企业资质：供应商须具备国家文物局颁发的考古发掘资质证书；</w:t>
      </w:r>
    </w:p>
    <w:p>
      <w:pPr>
        <w:pStyle w:val="null3"/>
      </w:pPr>
      <w:r>
        <w:rPr>
          <w:rFonts w:ascii="仿宋_GB2312" w:hAnsi="仿宋_GB2312" w:cs="仿宋_GB2312" w:eastAsia="仿宋_GB2312"/>
        </w:rPr>
        <w:t>4、项目负责人：拟派项目负责人具有国家文物局颁发的考古发掘领队资格证或考古发掘项目负责人资质证书；</w:t>
      </w:r>
    </w:p>
    <w:p>
      <w:pPr>
        <w:pStyle w:val="null3"/>
      </w:pPr>
      <w:r>
        <w:rPr>
          <w:rFonts w:ascii="仿宋_GB2312" w:hAnsi="仿宋_GB2312" w:cs="仿宋_GB2312" w:eastAsia="仿宋_GB2312"/>
        </w:rPr>
        <w:t>5、设备、技术能力书面声明：提供具有履行合同所必需的设备和专业技术能力的书面声明；</w:t>
      </w:r>
    </w:p>
    <w:p>
      <w:pPr>
        <w:pStyle w:val="null3"/>
      </w:pPr>
      <w:r>
        <w:rPr>
          <w:rFonts w:ascii="仿宋_GB2312" w:hAnsi="仿宋_GB2312" w:cs="仿宋_GB2312" w:eastAsia="仿宋_GB2312"/>
        </w:rPr>
        <w:t>6、信用查询记录：供应商不得为“信用中国”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7、本次项目不接受联合体投标：提供非联合体投标承诺书；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西安市隋唐长安城遗址保护中心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龙首北路东段1号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029-81620820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陕西贞吉建设项目管理有限公司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西安经济技术开发区赛高国际D座603室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杨亚妮 姜培栋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029-86679931/15353738403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采购包1：2,210,000.00元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采购包1：2,210,000.00元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国家发展改革委关于降低部分建设项目收费标准规范收费行为等有关问题的通知》（发改价格〔2011〕534号）的有关规定，向代理机构一次支付招标代理服务费，招标代理服务费用不足陆仟元（¥：6000元）时按捌仟元收取。2、代理费缴存账户： 开户名称：陕西贞吉建设项目管理有限公司 开户银行：兴业银行股份有限公司西安经济开发区支行 账号：4568 5010 0100 250 478 （备注：项目名称+代理服务费）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西安市隋唐长安城遗址保护中心</w:t>
      </w:r>
      <w:r>
        <w:rPr>
          <w:rFonts w:ascii="仿宋_GB2312" w:hAnsi="仿宋_GB2312" w:cs="仿宋_GB2312" w:eastAsia="仿宋_GB2312"/>
        </w:rPr>
        <w:t>和</w:t>
      </w:r>
      <w:r>
        <w:rPr>
          <w:rFonts w:ascii="仿宋_GB2312" w:hAnsi="仿宋_GB2312" w:cs="仿宋_GB2312" w:eastAsia="仿宋_GB2312"/>
        </w:rPr>
        <w:t>陕西贞吉建设项目管理有限公司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陕西贞吉建设项目管理有限公司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西安市隋唐长安城遗址保护中心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陕西贞吉建设项目管理有限公司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按照验收标准，由采购人组织验收。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隋大兴唐长安城遗址是1996年国务院公布的第四批全国重点文物保护单位，是中古时代东方规模最大的城市，也是著名的丝绸之路起点。东市是隋唐长安城最重要的商业区之一，随着城市建设的推进，东市遗址的部分区域再次被揭露出来。本次采购的东市遗址考古发掘面积1000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2,210,000.00</w:t>
      </w:r>
    </w:p>
    <w:p>
      <w:pPr>
        <w:pStyle w:val="null3"/>
      </w:pPr>
      <w:r>
        <w:rPr>
          <w:rFonts w:ascii="仿宋_GB2312" w:hAnsi="仿宋_GB2312" w:cs="仿宋_GB2312" w:eastAsia="仿宋_GB2312"/>
        </w:rPr>
        <w:t>采购包最高限价（元）: 2,210,000.00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考古发掘</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标的名称：考古发掘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一、项目名称：</w:t>
            </w:r>
            <w:r>
              <w:rPr>
                <w:rFonts w:ascii="仿宋_GB2312" w:hAnsi="仿宋_GB2312" w:cs="仿宋_GB2312" w:eastAsia="仿宋_GB2312"/>
                <w:sz w:val="18"/>
              </w:rPr>
              <w:t>东市遗址考古发掘</w:t>
            </w:r>
          </w:p>
          <w:p>
            <w:pPr>
              <w:pStyle w:val="null3"/>
              <w:jc w:val="both"/>
            </w:pPr>
            <w:r>
              <w:rPr>
                <w:rFonts w:ascii="仿宋_GB2312" w:hAnsi="仿宋_GB2312" w:cs="仿宋_GB2312" w:eastAsia="仿宋_GB2312"/>
                <w:sz w:val="18"/>
              </w:rPr>
              <w:t>二、采购预算</w:t>
            </w:r>
            <w:r>
              <w:rPr>
                <w:rFonts w:ascii="仿宋_GB2312" w:hAnsi="仿宋_GB2312" w:cs="仿宋_GB2312" w:eastAsia="仿宋_GB2312"/>
                <w:sz w:val="18"/>
              </w:rPr>
              <w:t>：</w:t>
            </w:r>
            <w:r>
              <w:rPr>
                <w:rFonts w:ascii="仿宋_GB2312" w:hAnsi="仿宋_GB2312" w:cs="仿宋_GB2312" w:eastAsia="仿宋_GB2312"/>
                <w:sz w:val="18"/>
              </w:rPr>
              <w:t>2210000.00</w:t>
            </w:r>
            <w:r>
              <w:rPr>
                <w:rFonts w:ascii="仿宋_GB2312" w:hAnsi="仿宋_GB2312" w:cs="仿宋_GB2312" w:eastAsia="仿宋_GB2312"/>
                <w:sz w:val="18"/>
              </w:rPr>
              <w:t>元</w:t>
            </w:r>
          </w:p>
          <w:p>
            <w:pPr>
              <w:pStyle w:val="null3"/>
              <w:jc w:val="both"/>
            </w:pPr>
            <w:r>
              <w:rPr>
                <w:rFonts w:ascii="仿宋_GB2312" w:hAnsi="仿宋_GB2312" w:cs="仿宋_GB2312" w:eastAsia="仿宋_GB2312"/>
                <w:sz w:val="18"/>
              </w:rPr>
              <w:t>三、采购内容：</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采用古今重叠型城市考古方法，对东市遗址东北隅的各类遗迹，包括道路、水渠等线性的框架性遗迹，同时也包括池苑、房址、水井、灰坑等散落的点状遗迹进行全面发掘。通过精细化的考古发掘，厘清东市东北隅的格局和沿革。</w:t>
            </w:r>
            <w:r>
              <w:rPr>
                <w:rFonts w:ascii="仿宋_GB2312" w:hAnsi="仿宋_GB2312" w:cs="仿宋_GB2312" w:eastAsia="仿宋_GB2312"/>
                <w:sz w:val="18"/>
              </w:rPr>
              <w:t>2.</w:t>
            </w:r>
            <w:r>
              <w:rPr>
                <w:rFonts w:ascii="仿宋_GB2312" w:hAnsi="仿宋_GB2312" w:cs="仿宋_GB2312" w:eastAsia="仿宋_GB2312"/>
                <w:sz w:val="18"/>
              </w:rPr>
              <w:t>为东市遗址后续的保护与展示提供考古学的支撑。</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服务期限：</w:t>
            </w:r>
            <w:r>
              <w:rPr>
                <w:rFonts w:ascii="仿宋_GB2312" w:hAnsi="仿宋_GB2312" w:cs="仿宋_GB2312" w:eastAsia="仿宋_GB2312"/>
                <w:sz w:val="18"/>
              </w:rPr>
              <w:t>自合同签订之日起三个月内完成</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五、资金来源：财政资金，资金来源已落实。</w:t>
            </w:r>
          </w:p>
          <w:p>
            <w:pPr>
              <w:pStyle w:val="null3"/>
            </w:pPr>
            <w:r>
              <w:rPr>
                <w:rFonts w:ascii="仿宋_GB2312" w:hAnsi="仿宋_GB2312" w:cs="仿宋_GB2312" w:eastAsia="仿宋_GB2312"/>
                <w:sz w:val="18"/>
                <w:color w:val="000000"/>
              </w:rPr>
              <w:t>六、</w:t>
            </w:r>
            <w:r>
              <w:rPr>
                <w:rFonts w:ascii="仿宋_GB2312" w:hAnsi="仿宋_GB2312" w:cs="仿宋_GB2312" w:eastAsia="仿宋_GB2312"/>
                <w:sz w:val="18"/>
                <w:color w:val="000000"/>
              </w:rPr>
              <w:t>进度要求：</w:t>
            </w:r>
            <w:r>
              <w:rPr>
                <w:rFonts w:ascii="仿宋_GB2312" w:hAnsi="仿宋_GB2312" w:cs="仿宋_GB2312" w:eastAsia="仿宋_GB2312"/>
                <w:sz w:val="18"/>
                <w:color w:val="000000"/>
              </w:rPr>
              <w:t>1、2026年</w:t>
            </w:r>
            <w:r>
              <w:rPr>
                <w:rFonts w:ascii="仿宋_GB2312" w:hAnsi="仿宋_GB2312" w:cs="仿宋_GB2312" w:eastAsia="仿宋_GB2312"/>
                <w:sz w:val="18"/>
                <w:color w:val="000000"/>
              </w:rPr>
              <w:t>6</w:t>
            </w:r>
            <w:r>
              <w:rPr>
                <w:rFonts w:ascii="仿宋_GB2312" w:hAnsi="仿宋_GB2312" w:cs="仿宋_GB2312" w:eastAsia="仿宋_GB2312"/>
                <w:sz w:val="18"/>
                <w:color w:val="000000"/>
              </w:rPr>
              <w:t>月</w:t>
            </w:r>
            <w:r>
              <w:rPr>
                <w:rFonts w:ascii="仿宋_GB2312" w:hAnsi="仿宋_GB2312" w:cs="仿宋_GB2312" w:eastAsia="仿宋_GB2312"/>
                <w:sz w:val="18"/>
                <w:color w:val="000000"/>
              </w:rPr>
              <w:t>前</w:t>
            </w:r>
            <w:r>
              <w:rPr>
                <w:rFonts w:ascii="仿宋_GB2312" w:hAnsi="仿宋_GB2312" w:cs="仿宋_GB2312" w:eastAsia="仿宋_GB2312"/>
                <w:sz w:val="18"/>
                <w:color w:val="000000"/>
              </w:rPr>
              <w:t>完成田野考古发掘工作</w:t>
            </w:r>
            <w:r>
              <w:rPr>
                <w:rFonts w:ascii="仿宋_GB2312" w:hAnsi="仿宋_GB2312" w:cs="仿宋_GB2312" w:eastAsia="仿宋_GB2312"/>
                <w:sz w:val="18"/>
                <w:color w:val="000000"/>
              </w:rPr>
              <w:t>；</w:t>
            </w:r>
            <w:r>
              <w:rPr>
                <w:rFonts w:ascii="仿宋_GB2312" w:hAnsi="仿宋_GB2312" w:cs="仿宋_GB2312" w:eastAsia="仿宋_GB2312"/>
                <w:sz w:val="18"/>
                <w:color w:val="000000"/>
              </w:rPr>
              <w:t>2、2026年</w:t>
            </w:r>
            <w:r>
              <w:rPr>
                <w:rFonts w:ascii="仿宋_GB2312" w:hAnsi="仿宋_GB2312" w:cs="仿宋_GB2312" w:eastAsia="仿宋_GB2312"/>
                <w:sz w:val="18"/>
                <w:color w:val="000000"/>
              </w:rPr>
              <w:t>7</w:t>
            </w:r>
            <w:r>
              <w:rPr>
                <w:rFonts w:ascii="仿宋_GB2312" w:hAnsi="仿宋_GB2312" w:cs="仿宋_GB2312" w:eastAsia="仿宋_GB2312"/>
                <w:sz w:val="18"/>
                <w:color w:val="000000"/>
              </w:rPr>
              <w:t>月</w:t>
            </w:r>
            <w:r>
              <w:rPr>
                <w:rFonts w:ascii="仿宋_GB2312" w:hAnsi="仿宋_GB2312" w:cs="仿宋_GB2312" w:eastAsia="仿宋_GB2312"/>
                <w:sz w:val="18"/>
                <w:color w:val="000000"/>
              </w:rPr>
              <w:t>前</w:t>
            </w:r>
            <w:r>
              <w:rPr>
                <w:rFonts w:ascii="仿宋_GB2312" w:hAnsi="仿宋_GB2312" w:cs="仿宋_GB2312" w:eastAsia="仿宋_GB2312"/>
                <w:sz w:val="18"/>
                <w:color w:val="000000"/>
              </w:rPr>
              <w:t>完成资料整理、总结以及成果评审等工作。</w:t>
            </w:r>
          </w:p>
          <w:p>
            <w:pPr>
              <w:pStyle w:val="null3"/>
              <w:jc w:val="both"/>
            </w:pPr>
            <w:r>
              <w:rPr>
                <w:rFonts w:ascii="仿宋_GB2312" w:hAnsi="仿宋_GB2312" w:cs="仿宋_GB2312" w:eastAsia="仿宋_GB2312"/>
                <w:sz w:val="18"/>
              </w:rPr>
              <w:t>七、</w:t>
            </w:r>
            <w:r>
              <w:rPr>
                <w:rFonts w:ascii="仿宋_GB2312" w:hAnsi="仿宋_GB2312" w:cs="仿宋_GB2312" w:eastAsia="仿宋_GB2312"/>
                <w:sz w:val="18"/>
              </w:rPr>
              <w:t>技术要求：</w:t>
            </w:r>
          </w:p>
          <w:p>
            <w:pPr>
              <w:pStyle w:val="null3"/>
              <w:ind w:firstLine="360"/>
            </w:pPr>
            <w:r>
              <w:rPr>
                <w:rFonts w:ascii="仿宋_GB2312" w:hAnsi="仿宋_GB2312" w:cs="仿宋_GB2312" w:eastAsia="仿宋_GB2312"/>
                <w:sz w:val="18"/>
                <w:color w:val="000000"/>
              </w:rPr>
              <w:t>考古发掘过程，全面采用全站仪、</w:t>
            </w:r>
            <w:r>
              <w:rPr>
                <w:rFonts w:ascii="仿宋_GB2312" w:hAnsi="仿宋_GB2312" w:cs="仿宋_GB2312" w:eastAsia="仿宋_GB2312"/>
                <w:sz w:val="18"/>
                <w:color w:val="000000"/>
              </w:rPr>
              <w:t>RTK进行测量、绘图，并用无人机进行全景拍照，对考古发掘的动植物遗存、金属文物进行多学科的检测与分析，对东市东北隅的环境、气候和生业等做全方维的探讨，并结合建筑考古、动物考古、植物考古等开展多学科合作。</w:t>
            </w:r>
          </w:p>
          <w:p>
            <w:pPr>
              <w:pStyle w:val="null3"/>
            </w:pPr>
            <w:r>
              <w:rPr>
                <w:rFonts w:ascii="仿宋_GB2312" w:hAnsi="仿宋_GB2312" w:cs="仿宋_GB2312" w:eastAsia="仿宋_GB2312"/>
                <w:sz w:val="18"/>
                <w:color w:val="000000"/>
              </w:rPr>
              <w:t>八、成果要求：</w:t>
            </w:r>
          </w:p>
          <w:p>
            <w:pPr>
              <w:pStyle w:val="null3"/>
              <w:ind w:firstLine="360"/>
            </w:pPr>
            <w:r>
              <w:rPr>
                <w:rFonts w:ascii="仿宋_GB2312" w:hAnsi="仿宋_GB2312" w:cs="仿宋_GB2312" w:eastAsia="仿宋_GB2312"/>
                <w:sz w:val="18"/>
                <w:color w:val="000000"/>
              </w:rPr>
              <w:t>1、原始材料</w:t>
            </w:r>
          </w:p>
          <w:p>
            <w:pPr>
              <w:pStyle w:val="null3"/>
              <w:ind w:firstLine="360"/>
            </w:pPr>
            <w:r>
              <w:rPr>
                <w:rFonts w:ascii="仿宋_GB2312" w:hAnsi="仿宋_GB2312" w:cs="仿宋_GB2312" w:eastAsia="仿宋_GB2312"/>
                <w:sz w:val="18"/>
                <w:color w:val="000000"/>
              </w:rPr>
              <w:t>①考古勘探记录</w:t>
            </w:r>
          </w:p>
          <w:p>
            <w:pPr>
              <w:pStyle w:val="null3"/>
              <w:ind w:firstLine="360"/>
            </w:pPr>
            <w:r>
              <w:rPr>
                <w:rFonts w:ascii="仿宋_GB2312" w:hAnsi="仿宋_GB2312" w:cs="仿宋_GB2312" w:eastAsia="仿宋_GB2312"/>
                <w:sz w:val="18"/>
                <w:color w:val="000000"/>
              </w:rPr>
              <w:t>②考古发掘记录</w:t>
            </w:r>
          </w:p>
          <w:p>
            <w:pPr>
              <w:pStyle w:val="null3"/>
              <w:ind w:firstLine="360"/>
            </w:pPr>
            <w:r>
              <w:rPr>
                <w:rFonts w:ascii="仿宋_GB2312" w:hAnsi="仿宋_GB2312" w:cs="仿宋_GB2312" w:eastAsia="仿宋_GB2312"/>
                <w:sz w:val="18"/>
                <w:color w:val="000000"/>
              </w:rPr>
              <w:t>③考古发掘成果报告</w:t>
            </w:r>
          </w:p>
          <w:p>
            <w:pPr>
              <w:pStyle w:val="null3"/>
              <w:ind w:firstLine="360"/>
            </w:pPr>
            <w:r>
              <w:rPr>
                <w:rFonts w:ascii="仿宋_GB2312" w:hAnsi="仿宋_GB2312" w:cs="仿宋_GB2312" w:eastAsia="仿宋_GB2312"/>
                <w:sz w:val="18"/>
                <w:color w:val="000000"/>
              </w:rPr>
              <w:t>2、图像材料</w:t>
            </w:r>
          </w:p>
          <w:p>
            <w:pPr>
              <w:pStyle w:val="null3"/>
              <w:ind w:firstLine="360"/>
            </w:pPr>
            <w:r>
              <w:rPr>
                <w:rFonts w:ascii="仿宋_GB2312" w:hAnsi="仿宋_GB2312" w:cs="仿宋_GB2312" w:eastAsia="仿宋_GB2312"/>
                <w:sz w:val="18"/>
                <w:color w:val="000000"/>
              </w:rPr>
              <w:t>①发掘位置图</w:t>
            </w:r>
          </w:p>
          <w:p>
            <w:pPr>
              <w:pStyle w:val="null3"/>
              <w:ind w:firstLine="360"/>
            </w:pPr>
            <w:r>
              <w:rPr>
                <w:rFonts w:ascii="仿宋_GB2312" w:hAnsi="仿宋_GB2312" w:cs="仿宋_GB2312" w:eastAsia="仿宋_GB2312"/>
                <w:sz w:val="18"/>
                <w:color w:val="000000"/>
              </w:rPr>
              <w:t>②东市东北隅遗迹发掘平面图、剖面图</w:t>
            </w:r>
          </w:p>
          <w:p>
            <w:pPr>
              <w:pStyle w:val="null3"/>
              <w:ind w:firstLine="360"/>
            </w:pPr>
            <w:r>
              <w:rPr>
                <w:rFonts w:ascii="仿宋_GB2312" w:hAnsi="仿宋_GB2312" w:cs="仿宋_GB2312" w:eastAsia="仿宋_GB2312"/>
                <w:sz w:val="18"/>
                <w:color w:val="000000"/>
              </w:rPr>
              <w:t>以上资料提供纸质版</w:t>
            </w:r>
            <w:r>
              <w:rPr>
                <w:rFonts w:ascii="仿宋_GB2312" w:hAnsi="仿宋_GB2312" w:cs="仿宋_GB2312" w:eastAsia="仿宋_GB2312"/>
                <w:sz w:val="18"/>
                <w:color w:val="000000"/>
              </w:rPr>
              <w:t>2份；电子版3份（WORD格式）。</w:t>
            </w:r>
          </w:p>
          <w:p>
            <w:pPr>
              <w:pStyle w:val="null3"/>
            </w:pPr>
            <w:r>
              <w:rPr>
                <w:rFonts w:ascii="仿宋_GB2312" w:hAnsi="仿宋_GB2312" w:cs="仿宋_GB2312" w:eastAsia="仿宋_GB2312"/>
                <w:sz w:val="18"/>
                <w:color w:val="000000"/>
              </w:rPr>
              <w:t>九、质量验收标准或规范</w:t>
            </w:r>
          </w:p>
          <w:p>
            <w:pPr>
              <w:pStyle w:val="null3"/>
              <w:ind w:firstLine="360"/>
            </w:pPr>
            <w:r>
              <w:rPr>
                <w:rFonts w:ascii="仿宋_GB2312" w:hAnsi="仿宋_GB2312" w:cs="仿宋_GB2312" w:eastAsia="仿宋_GB2312"/>
                <w:sz w:val="18"/>
                <w:color w:val="000000"/>
              </w:rPr>
              <w:t>1、《中华人民共和国文物保护法》</w:t>
            </w:r>
          </w:p>
          <w:p>
            <w:pPr>
              <w:pStyle w:val="null3"/>
              <w:ind w:firstLine="360"/>
            </w:pPr>
            <w:r>
              <w:rPr>
                <w:rFonts w:ascii="仿宋_GB2312" w:hAnsi="仿宋_GB2312" w:cs="仿宋_GB2312" w:eastAsia="仿宋_GB2312"/>
                <w:sz w:val="18"/>
                <w:color w:val="000000"/>
              </w:rPr>
              <w:t>2、《国家文物局田野考古工作规程》（2009）</w:t>
            </w:r>
          </w:p>
          <w:p>
            <w:pPr>
              <w:pStyle w:val="null3"/>
              <w:ind w:firstLine="360"/>
            </w:pPr>
            <w:r>
              <w:rPr>
                <w:rFonts w:ascii="仿宋_GB2312" w:hAnsi="仿宋_GB2312" w:cs="仿宋_GB2312" w:eastAsia="仿宋_GB2312"/>
                <w:sz w:val="18"/>
                <w:color w:val="000000"/>
              </w:rPr>
              <w:t>3、《国家考古遗址公园管理办法（试行）》</w:t>
            </w:r>
          </w:p>
          <w:p>
            <w:pPr>
              <w:pStyle w:val="null3"/>
            </w:pPr>
            <w:r>
              <w:rPr>
                <w:rFonts w:ascii="仿宋_GB2312" w:hAnsi="仿宋_GB2312" w:cs="仿宋_GB2312" w:eastAsia="仿宋_GB2312"/>
                <w:sz w:val="18"/>
              </w:rPr>
              <w:t xml:space="preserve">  4、《考古发掘项目检查验收工作实施细则》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项目田野考古发掘结束，并经专家评审验收合格后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1.按照《中华人民共和国民法典》及采购文件相关条款执行。2.合同争议解决的方式：本合同在履行过程中发生的争议，由甲、乙双方当事人协商解决，协商不成的，任一方可向甲方所在地人民法院起诉。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2、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节能产品政府采购实施意见》（财库〔2004〕185号）； 5、《环境标志产品政府采购实施的意见》（财库〔2006〕90号）；6、《三部门联合发布关于促进残疾人就业政府采购政策的通知》（财库〔2017〕141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中小企业政府采购信用融资办法》（陕财办采〔2018〕23号）、陕西省财政厅、中国人民银行西安分行关于深入推进政府采购信用融资业务的通知（陕财办采〔2023〕5号）；12、《关于政府采购支持绿色建材促进建筑品质提升试点工作的通知》（财库〔2020〕31 号）；13、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14、关于推动解决政府采购异常低价问题的通知（财库〔2026〕2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谈判的，须出具法定代表人（负责人）身份证明书及身份证正反两面扫描件；法定代表人（负责人）授权委托代理人参加谈判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供应商须具备国家文物局颁发的考古发掘资质证书；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拟派项目负责人具有国家文物局颁发的考古发掘领队资格证或考古发掘项目负责人资质证书；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自响应文件递交截止之日起90个日历日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响应文件内容完整</w:t>
            </w:r>
          </w:p>
        </w:tc>
        <w:tc>
          <w:tcPr>
            <w:tcW w:type="dxa" w:w="1661"/>
          </w:tcPr>
          <w:p>
            <w:pPr>
              <w:pStyle w:val="null3"/>
            </w:pPr>
            <w:r>
              <w:rPr>
                <w:rFonts w:ascii="仿宋_GB2312" w:hAnsi="仿宋_GB2312" w:cs="仿宋_GB2312" w:eastAsia="仿宋_GB2312"/>
              </w:rPr>
              <w:t>响应文件.docx 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