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A8AD9">
      <w:pPr>
        <w:spacing w:line="360" w:lineRule="auto"/>
        <w:jc w:val="center"/>
        <w:rPr>
          <w:rFonts w:hint="eastAsia" w:ascii="方正仿宋_GB2312" w:hAnsi="方正仿宋_GB2312" w:eastAsia="方正仿宋_GB2312" w:cs="方正仿宋_GB2312"/>
          <w:b/>
          <w:sz w:val="44"/>
          <w:szCs w:val="44"/>
        </w:rPr>
      </w:pPr>
      <w:r>
        <w:rPr>
          <w:rFonts w:hint="eastAsia" w:ascii="方正仿宋_GB2312" w:hAnsi="方正仿宋_GB2312" w:eastAsia="方正仿宋_GB2312" w:cs="方正仿宋_GB2312"/>
          <w:b/>
          <w:sz w:val="44"/>
          <w:szCs w:val="44"/>
        </w:rPr>
        <w:t>西安特种设备检验检测院检验检测业务系统迭代升级及信创改造项目</w:t>
      </w:r>
    </w:p>
    <w:p w14:paraId="1EAD9102">
      <w:pPr>
        <w:jc w:val="center"/>
        <w:rPr>
          <w:rFonts w:hint="eastAsia" w:ascii="方正仿宋_GB2312" w:hAnsi="方正仿宋_GB2312" w:eastAsia="方正仿宋_GB2312" w:cs="方正仿宋_GB2312"/>
          <w:b/>
          <w:sz w:val="72"/>
          <w:szCs w:val="72"/>
        </w:rPr>
      </w:pPr>
    </w:p>
    <w:p w14:paraId="03A0BBF8">
      <w:pPr>
        <w:spacing w:line="360" w:lineRule="auto"/>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sz w:val="72"/>
          <w:szCs w:val="72"/>
        </w:rPr>
        <w:t>采</w:t>
      </w:r>
      <w:r>
        <w:rPr>
          <w:rFonts w:hint="eastAsia" w:ascii="方正仿宋_GB2312" w:hAnsi="方正仿宋_GB2312" w:eastAsia="方正仿宋_GB2312" w:cs="方正仿宋_GB2312"/>
          <w:b/>
          <w:sz w:val="72"/>
          <w:szCs w:val="72"/>
          <w:lang w:val="en-US"/>
        </w:rPr>
        <w:t xml:space="preserve"> </w:t>
      </w:r>
      <w:r>
        <w:rPr>
          <w:rFonts w:hint="eastAsia" w:ascii="方正仿宋_GB2312" w:hAnsi="方正仿宋_GB2312" w:eastAsia="方正仿宋_GB2312" w:cs="方正仿宋_GB2312"/>
          <w:b/>
          <w:sz w:val="72"/>
          <w:szCs w:val="72"/>
        </w:rPr>
        <w:t>购 合 同</w:t>
      </w:r>
      <w:r>
        <w:rPr>
          <w:rFonts w:hint="eastAsia" w:ascii="方正仿宋_GB2312" w:hAnsi="方正仿宋_GB2312" w:eastAsia="方正仿宋_GB2312" w:cs="方正仿宋_GB2312"/>
          <w:b/>
          <w:sz w:val="72"/>
          <w:szCs w:val="72"/>
        </w:rPr>
        <w:br w:type="textWrapping"/>
      </w:r>
    </w:p>
    <w:p w14:paraId="4857BC16">
      <w:pPr>
        <w:pStyle w:val="3"/>
        <w:rPr>
          <w:rFonts w:hint="eastAsia" w:ascii="方正仿宋_GB2312" w:hAnsi="方正仿宋_GB2312" w:eastAsia="方正仿宋_GB2312" w:cs="方正仿宋_GB2312"/>
          <w:lang w:eastAsia="zh-CN"/>
        </w:rPr>
      </w:pPr>
    </w:p>
    <w:p w14:paraId="68D76B29">
      <w:pPr>
        <w:rPr>
          <w:rFonts w:hint="eastAsia" w:ascii="方正仿宋_GB2312" w:hAnsi="方正仿宋_GB2312" w:eastAsia="方正仿宋_GB2312" w:cs="方正仿宋_GB2312"/>
        </w:rPr>
      </w:pPr>
    </w:p>
    <w:p w14:paraId="2B36F590">
      <w:pPr>
        <w:spacing w:line="360" w:lineRule="auto"/>
        <w:jc w:val="center"/>
        <w:rPr>
          <w:rFonts w:hint="eastAsia" w:ascii="方正仿宋_GB2312" w:hAnsi="方正仿宋_GB2312" w:eastAsia="方正仿宋_GB2312" w:cs="方正仿宋_GB2312"/>
          <w:sz w:val="32"/>
          <w:szCs w:val="32"/>
        </w:rPr>
      </w:pPr>
    </w:p>
    <w:p w14:paraId="76775DD7">
      <w:pPr>
        <w:spacing w:line="360" w:lineRule="auto"/>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甲  方：西安特种设备检验检测院</w:t>
      </w:r>
    </w:p>
    <w:p w14:paraId="5C57FAB6">
      <w:pPr>
        <w:tabs>
          <w:tab w:val="left" w:pos="480"/>
        </w:tabs>
        <w:spacing w:line="360" w:lineRule="auto"/>
        <w:rPr>
          <w:rFonts w:hint="eastAsia" w:ascii="方正仿宋_GB2312" w:hAnsi="方正仿宋_GB2312" w:eastAsia="方正仿宋_GB2312" w:cs="方正仿宋_GB2312"/>
          <w:sz w:val="32"/>
          <w:szCs w:val="32"/>
        </w:rPr>
      </w:pPr>
    </w:p>
    <w:p w14:paraId="363A10D4">
      <w:pPr>
        <w:widowControl w:val="0"/>
        <w:tabs>
          <w:tab w:val="left" w:pos="480"/>
        </w:tabs>
        <w:spacing w:line="360" w:lineRule="auto"/>
        <w:ind w:firstLine="2016" w:firstLineChars="63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乙  方：          </w:t>
      </w:r>
    </w:p>
    <w:p w14:paraId="6CA46064">
      <w:pPr>
        <w:spacing w:line="360" w:lineRule="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7912D230">
      <w:pPr>
        <w:spacing w:line="360" w:lineRule="auto"/>
        <w:jc w:val="center"/>
        <w:rPr>
          <w:rFonts w:hint="eastAsia" w:ascii="方正仿宋_GB2312" w:hAnsi="方正仿宋_GB2312" w:eastAsia="方正仿宋_GB2312" w:cs="方正仿宋_GB2312"/>
          <w:sz w:val="32"/>
          <w:szCs w:val="32"/>
          <w:lang w:val="en-US"/>
        </w:rPr>
      </w:pPr>
      <w:r>
        <w:rPr>
          <w:rFonts w:hint="eastAsia" w:ascii="方正仿宋_GB2312" w:hAnsi="方正仿宋_GB2312" w:eastAsia="方正仿宋_GB2312" w:cs="方正仿宋_GB2312"/>
          <w:sz w:val="32"/>
          <w:szCs w:val="32"/>
        </w:rPr>
        <w:t>202</w:t>
      </w:r>
      <w:r>
        <w:rPr>
          <w:rFonts w:hint="eastAsia" w:ascii="方正仿宋_GB2312" w:hAnsi="方正仿宋_GB2312" w:eastAsia="方正仿宋_GB2312" w:cs="方正仿宋_GB2312"/>
          <w:sz w:val="32"/>
          <w:szCs w:val="32"/>
          <w:lang w:val="en-US"/>
        </w:rPr>
        <w:t>6</w:t>
      </w:r>
      <w:r>
        <w:rPr>
          <w:rFonts w:hint="eastAsia" w:ascii="方正仿宋_GB2312" w:hAnsi="方正仿宋_GB2312" w:eastAsia="方正仿宋_GB2312" w:cs="方正仿宋_GB2312"/>
          <w:sz w:val="32"/>
          <w:szCs w:val="32"/>
        </w:rPr>
        <w:t>年  月</w:t>
      </w:r>
      <w:r>
        <w:rPr>
          <w:rFonts w:hint="eastAsia" w:ascii="方正仿宋_GB2312" w:hAnsi="方正仿宋_GB2312" w:eastAsia="方正仿宋_GB2312" w:cs="方正仿宋_GB2312"/>
          <w:sz w:val="32"/>
          <w:szCs w:val="32"/>
          <w:lang w:val="en-US"/>
        </w:rPr>
        <w:t xml:space="preserve">  日</w:t>
      </w:r>
    </w:p>
    <w:p w14:paraId="62167100">
      <w:pPr>
        <w:spacing w:line="360" w:lineRule="auto"/>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中国  西安</w:t>
      </w:r>
    </w:p>
    <w:p w14:paraId="11F9E6B1">
      <w:pPr>
        <w:rPr>
          <w:rFonts w:hint="eastAsia" w:ascii="方正仿宋_GB2312" w:hAnsi="方正仿宋_GB2312" w:eastAsia="方正仿宋_GB2312" w:cs="方正仿宋_GB2312"/>
          <w:b/>
          <w:bCs/>
          <w:sz w:val="36"/>
          <w:szCs w:val="28"/>
        </w:rPr>
      </w:pPr>
      <w:r>
        <w:rPr>
          <w:rFonts w:hint="eastAsia" w:ascii="方正仿宋_GB2312" w:hAnsi="方正仿宋_GB2312" w:eastAsia="方正仿宋_GB2312" w:cs="方正仿宋_GB2312"/>
          <w:b/>
          <w:bCs/>
          <w:sz w:val="36"/>
          <w:szCs w:val="28"/>
        </w:rPr>
        <w:br w:type="page"/>
      </w:r>
    </w:p>
    <w:p w14:paraId="3B13D809">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 xml:space="preserve">采购人（全称）：                                      </w:t>
      </w:r>
    </w:p>
    <w:p w14:paraId="0353B2E8">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 xml:space="preserve">供应商（全称）：                                      </w:t>
      </w:r>
    </w:p>
    <w:p w14:paraId="3D031565">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根据《中华人民共和国民法典》及其他有关法律、法规，遵循平等、自愿、公平和诚信的原则，双方就下述项目范围与相关服务事项协商一致，订立本合同。</w:t>
      </w:r>
    </w:p>
    <w:p w14:paraId="3A58967D">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一、交付条件：</w:t>
      </w:r>
    </w:p>
    <w:p w14:paraId="73921F3C">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（一）交付地点：西安特种设备检验检测院指定地点。</w:t>
      </w:r>
    </w:p>
    <w:p w14:paraId="47C53B3B">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（二）</w:t>
      </w:r>
      <w:r>
        <w:rPr>
          <w:rFonts w:hint="eastAsia" w:ascii="方正仿宋_GB2312" w:hAnsi="方正仿宋_GB2312" w:eastAsia="方正仿宋_GB2312" w:cs="方正仿宋_GB2312"/>
          <w:color w:val="auto"/>
          <w:szCs w:val="24"/>
          <w:lang w:val="en-US"/>
        </w:rPr>
        <w:t>实施</w:t>
      </w:r>
      <w:r>
        <w:rPr>
          <w:rFonts w:hint="eastAsia" w:ascii="方正仿宋_GB2312" w:hAnsi="方正仿宋_GB2312" w:eastAsia="方正仿宋_GB2312" w:cs="方正仿宋_GB2312"/>
          <w:color w:val="auto"/>
          <w:szCs w:val="24"/>
        </w:rPr>
        <w:t>周期：</w:t>
      </w:r>
    </w:p>
    <w:p w14:paraId="747E18C7">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本项目实施周期自合同签订之日起4个月，具体实施进度要求如下：</w:t>
      </w:r>
    </w:p>
    <w:p w14:paraId="24897C09">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第一阶段：合同签订后1个月内，完成需求调研，形成“需求分析说明书”，并经甲方书面确认；</w:t>
      </w:r>
    </w:p>
    <w:p w14:paraId="496834EB">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第二阶段：合同签订后3个月内，完成系统详细设计；完成系统开发测试工作，投入试运行；</w:t>
      </w:r>
    </w:p>
    <w:p w14:paraId="3DC2F86F">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第三阶段：投入试运行后正常运转1个月后，供应商提交项目实施相关的所有文档，包括：需求分析说明书、系统概要设计，系统详细设计，系统测试报告，系统实施报告，用户操作手册，用户使用报告，系统验收报告等。</w:t>
      </w:r>
    </w:p>
    <w:p w14:paraId="7BC184BA">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Cs w:val="24"/>
        </w:rPr>
        <w:t>验收前供应商提交验收申请报告，经采购人确认后组织项目验收。</w:t>
      </w:r>
    </w:p>
    <w:p w14:paraId="4A0DBB92">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二、合同价款</w:t>
      </w:r>
    </w:p>
    <w:p w14:paraId="0BE1AE61">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（一）为完成</w:t>
      </w:r>
      <w:r>
        <w:rPr>
          <w:rFonts w:hint="eastAsia" w:ascii="方正仿宋_GB2312" w:hAnsi="方正仿宋_GB2312" w:eastAsia="方正仿宋_GB2312" w:cs="方正仿宋_GB2312"/>
          <w:color w:val="auto"/>
          <w:szCs w:val="24"/>
          <w:lang w:val="en-US"/>
        </w:rPr>
        <w:t>磋商</w:t>
      </w:r>
      <w:r>
        <w:rPr>
          <w:rFonts w:hint="eastAsia" w:ascii="方正仿宋_GB2312" w:hAnsi="方正仿宋_GB2312" w:eastAsia="方正仿宋_GB2312" w:cs="方正仿宋_GB2312"/>
          <w:color w:val="auto"/>
          <w:szCs w:val="24"/>
        </w:rPr>
        <w:t>文件规定的全部工作内容，须包含项目全过程费用，包括但不限于软件费、设备（产品）费、安装调试费、系统集成费、调试检测费、运杂费（含保险）、仓储保管费、技术培训费、验收费、硬件供应费和其他费用等其他一切相关费用。</w:t>
      </w:r>
    </w:p>
    <w:p w14:paraId="6BEB66A6">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Cs w:val="24"/>
        </w:rPr>
        <w:t>（二）合同总价一次性包死，不受市场价格变化因素的影响。不得因报价原因减少任何工作内容。服务期内采购人不再增加任何费用。</w:t>
      </w:r>
    </w:p>
    <w:p w14:paraId="40CDDCF9">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三、款项结算</w:t>
      </w:r>
    </w:p>
    <w:p w14:paraId="34A3213D">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（一）付款方式：</w:t>
      </w:r>
    </w:p>
    <w:p w14:paraId="713EE066">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lang w:val="en-US"/>
        </w:rPr>
      </w:pPr>
      <w:r>
        <w:rPr>
          <w:rFonts w:hint="eastAsia" w:ascii="方正仿宋_GB2312" w:hAnsi="方正仿宋_GB2312" w:eastAsia="方正仿宋_GB2312" w:cs="方正仿宋_GB2312"/>
          <w:color w:val="auto"/>
          <w:szCs w:val="24"/>
          <w:lang w:val="en-US"/>
        </w:rPr>
        <w:t>（1）在合同签订后【15】个工作日内，采购人向供应商支付合同价款总金额的【30】。</w:t>
      </w:r>
    </w:p>
    <w:p w14:paraId="14338E96">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lang w:val="en-US"/>
        </w:rPr>
      </w:pPr>
      <w:r>
        <w:rPr>
          <w:rFonts w:hint="eastAsia" w:ascii="方正仿宋_GB2312" w:hAnsi="方正仿宋_GB2312" w:eastAsia="方正仿宋_GB2312" w:cs="方正仿宋_GB2312"/>
          <w:color w:val="auto"/>
          <w:szCs w:val="24"/>
          <w:lang w:val="en-US"/>
        </w:rPr>
        <w:t>（2）系统投入试运行后【15】个工作日内，采购人再向供应商支付合同价款总金额的【30】%。</w:t>
      </w:r>
    </w:p>
    <w:p w14:paraId="18F1C8C4">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lang w:val="en-US"/>
        </w:rPr>
      </w:pPr>
      <w:r>
        <w:rPr>
          <w:rFonts w:hint="eastAsia" w:ascii="方正仿宋_GB2312" w:hAnsi="方正仿宋_GB2312" w:eastAsia="方正仿宋_GB2312" w:cs="方正仿宋_GB2312"/>
          <w:color w:val="auto"/>
          <w:szCs w:val="24"/>
          <w:lang w:val="en-US"/>
        </w:rPr>
        <w:t>（3）项目完成全部建设任务，各项指标运行正常，通过验收后【15】个工作日内，支付所有剩余款项。</w:t>
      </w:r>
    </w:p>
    <w:p w14:paraId="0EAFCA7E">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lang w:val="en-US"/>
        </w:rPr>
      </w:pPr>
      <w:r>
        <w:rPr>
          <w:rFonts w:hint="eastAsia" w:ascii="方正仿宋_GB2312" w:hAnsi="方正仿宋_GB2312" w:eastAsia="方正仿宋_GB2312" w:cs="方正仿宋_GB2312"/>
          <w:color w:val="auto"/>
          <w:szCs w:val="24"/>
          <w:lang w:val="en-US"/>
        </w:rPr>
        <w:t>（4）中标人应于采购人每次付款前向采购人开具等额发票。因中标人迟延开票，采购人有权拒不付款且不承担任何责任。</w:t>
      </w:r>
    </w:p>
    <w:p w14:paraId="08F7FB99">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（二）结算：</w:t>
      </w:r>
    </w:p>
    <w:p w14:paraId="2C7BDC6C">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lang w:val="en-US"/>
        </w:rPr>
      </w:pPr>
      <w:r>
        <w:rPr>
          <w:rFonts w:hint="eastAsia" w:ascii="方正仿宋_GB2312" w:hAnsi="方正仿宋_GB2312" w:eastAsia="方正仿宋_GB2312" w:cs="方正仿宋_GB2312"/>
          <w:szCs w:val="24"/>
          <w:lang w:val="en-US"/>
        </w:rPr>
        <w:t>（1）依据采购人要求结算。</w:t>
      </w:r>
    </w:p>
    <w:p w14:paraId="26C3EBC9">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lang w:val="en-US"/>
        </w:rPr>
      </w:pPr>
      <w:r>
        <w:rPr>
          <w:rFonts w:hint="eastAsia" w:ascii="方正仿宋_GB2312" w:hAnsi="方正仿宋_GB2312" w:eastAsia="方正仿宋_GB2312" w:cs="方正仿宋_GB2312"/>
          <w:szCs w:val="24"/>
          <w:lang w:val="en-US"/>
        </w:rPr>
        <w:t>（2）结算方式：银行转账。</w:t>
      </w:r>
    </w:p>
    <w:p w14:paraId="45393B9C">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rPr>
      </w:pPr>
      <w:r>
        <w:rPr>
          <w:rFonts w:hint="eastAsia" w:ascii="方正仿宋_GB2312" w:hAnsi="方正仿宋_GB2312" w:eastAsia="方正仿宋_GB2312" w:cs="方正仿宋_GB2312"/>
          <w:szCs w:val="24"/>
          <w:lang w:val="en-US"/>
        </w:rPr>
        <w:t>（3）结算单位：由采购人负责结算,供应商开具等额（含税）发票交采购人。</w:t>
      </w:r>
    </w:p>
    <w:p w14:paraId="3FB0B55A">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四、服务及标准</w:t>
      </w:r>
    </w:p>
    <w:p w14:paraId="792A03D3">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服务内容：西安特种设备检验检测院检验检测业务系统迭代升级及信创改造。</w:t>
      </w:r>
    </w:p>
    <w:p w14:paraId="5BE1B674">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服务标准：供应商应保证所提供的服务不仅在设计和实施方面符合规范和招标文件采购人的要求，而且还应满足有效使用的要求。</w:t>
      </w:r>
    </w:p>
    <w:p w14:paraId="7D216344">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采购项目需执行的国家相关标准、行业标准、地方标准或者其他标准、规范：符合国家标准。</w:t>
      </w:r>
    </w:p>
    <w:p w14:paraId="04EA33D3">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五、质量保证：合格</w:t>
      </w:r>
    </w:p>
    <w:p w14:paraId="27D2CC8B">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六、质保要求</w:t>
      </w:r>
    </w:p>
    <w:p w14:paraId="5CFDAE63">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w:t>
      </w:r>
      <w:r>
        <w:rPr>
          <w:rFonts w:hint="eastAsia" w:ascii="方正仿宋_GB2312" w:hAnsi="方正仿宋_GB2312" w:eastAsia="方正仿宋_GB2312" w:cs="方正仿宋_GB2312"/>
          <w:color w:val="auto"/>
          <w:szCs w:val="24"/>
          <w:lang w:val="en-US"/>
        </w:rPr>
        <w:t>一</w:t>
      </w:r>
      <w:r>
        <w:rPr>
          <w:rFonts w:hint="eastAsia" w:ascii="方正仿宋_GB2312" w:hAnsi="方正仿宋_GB2312" w:eastAsia="方正仿宋_GB2312" w:cs="方正仿宋_GB2312"/>
          <w:color w:val="auto"/>
          <w:szCs w:val="24"/>
        </w:rPr>
        <w:t>）保证所供软硬件的设计、功能、性能及产品测试等，均应按国内外通行的现行标准和相应的技术规范执行，这些标准和技术规范应为合同签订日为止最新公布发行的标准和技术规范。</w:t>
      </w:r>
    </w:p>
    <w:p w14:paraId="0B17E728">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（二）保证所供软硬件能按期交付。</w:t>
      </w:r>
    </w:p>
    <w:p w14:paraId="2F0B9F2E">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（三）保证所供硬件进货渠道正规，无假货、水货或翻新货，并能按期交付。</w:t>
      </w:r>
    </w:p>
    <w:p w14:paraId="6BE683A5">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（四）保证所供硬件在装卸、运输和仓储过程中有足够的包装保护，防止硬件受潮、锈蚀、遭受冲撞及其他不可预见的损坏。</w:t>
      </w:r>
    </w:p>
    <w:p w14:paraId="05554C47">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（五）</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所供产品因侵权而产生的一切后果由供应商负责，采购人保留索赔权力。</w:t>
      </w:r>
    </w:p>
    <w:p w14:paraId="345BF2AC">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（六）运维方案和方式科学、可行，人员配置合理，全面满足要求。</w:t>
      </w:r>
    </w:p>
    <w:p w14:paraId="467970C6">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（七）符合国家有关服务规范要求，确保各项系统达到最佳运行状态。</w:t>
      </w:r>
    </w:p>
    <w:p w14:paraId="3BE82FED">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七、包装和储运</w:t>
      </w:r>
    </w:p>
    <w:p w14:paraId="55836253">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（一）硬件及其备附件的包装应为出厂时的原包装，包装内应附有详细的装箱清单、出厂合格证明及其他相关资料。</w:t>
      </w:r>
    </w:p>
    <w:p w14:paraId="2C5FF214">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（二）运输由</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负责，运杂费已包含在合同总价内，包括从硬件供应地点运送至交付地点所含的运输费、装卸费、仓储费、保险费等。</w:t>
      </w:r>
    </w:p>
    <w:p w14:paraId="77D6C0A1">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（三）运输方式由</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自行选择，但必须保证按期交付。</w:t>
      </w:r>
    </w:p>
    <w:p w14:paraId="04A8D8C1">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（四）硬件及其备附件到达采购人指定地点后，</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应按有关技术规程和采购人要求进行存放和保管。</w:t>
      </w:r>
    </w:p>
    <w:p w14:paraId="5C9005C1">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八、安装、调试和验收</w:t>
      </w:r>
    </w:p>
    <w:p w14:paraId="1C39AC4F">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（一）安装调试：</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应配合采购人的时限要求，负责在现场对软硬件进行安装、调试和试运行，直至验收合格。</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应提供全部安装、调试过程中所需的资料。试运行应当在采购人的监督下进行。</w:t>
      </w:r>
    </w:p>
    <w:p w14:paraId="6B941B74">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（二）现场验收：软硬件安装后，采购人根据合同要求，在</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和采购人相关负责人双方同时在场的情况下，进行技术指标、功能、模块验收。</w:t>
      </w:r>
    </w:p>
    <w:p w14:paraId="2BEE194B">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（三）最终验收：软硬件安装调试和运行后，由</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向采购人递交安装调试记录和竣工通知书，经采购人确认后，组织</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进行系统验收；维保期满后，采购人根据</w:t>
      </w:r>
      <w:r>
        <w:rPr>
          <w:rFonts w:hint="eastAsia" w:ascii="方正仿宋_GB2312" w:hAnsi="方正仿宋_GB2312" w:eastAsia="方正仿宋_GB2312" w:cs="方正仿宋_GB2312"/>
          <w:color w:val="auto"/>
          <w:szCs w:val="24"/>
          <w:lang w:val="en-US"/>
        </w:rPr>
        <w:t>磋商</w:t>
      </w:r>
      <w:r>
        <w:rPr>
          <w:rFonts w:hint="eastAsia" w:ascii="方正仿宋_GB2312" w:hAnsi="方正仿宋_GB2312" w:eastAsia="方正仿宋_GB2312" w:cs="方正仿宋_GB2312"/>
          <w:color w:val="auto"/>
          <w:szCs w:val="24"/>
        </w:rPr>
        <w:t>文件和</w:t>
      </w:r>
      <w:r>
        <w:rPr>
          <w:rFonts w:hint="eastAsia" w:ascii="方正仿宋_GB2312" w:hAnsi="方正仿宋_GB2312" w:eastAsia="方正仿宋_GB2312" w:cs="方正仿宋_GB2312"/>
          <w:color w:val="auto"/>
          <w:szCs w:val="24"/>
          <w:lang w:val="en-US"/>
        </w:rPr>
        <w:t>响应</w:t>
      </w:r>
      <w:r>
        <w:rPr>
          <w:rFonts w:hint="eastAsia" w:ascii="方正仿宋_GB2312" w:hAnsi="方正仿宋_GB2312" w:eastAsia="方正仿宋_GB2312" w:cs="方正仿宋_GB2312"/>
          <w:color w:val="auto"/>
          <w:szCs w:val="24"/>
        </w:rPr>
        <w:t>文件及相关文件，进行验收，确认服务标准和服务方式是否达到采购要求；必要时采购人可委托具有相关资质的第三方检测机构/</w:t>
      </w:r>
      <w:r>
        <w:rPr>
          <w:rFonts w:hint="eastAsia" w:ascii="方正仿宋_GB2312" w:hAnsi="方正仿宋_GB2312" w:eastAsia="方正仿宋_GB2312" w:cs="方正仿宋_GB2312"/>
          <w:color w:val="auto"/>
          <w:szCs w:val="24"/>
          <w:lang w:val="en-US"/>
        </w:rPr>
        <w:t>软件平台</w:t>
      </w:r>
      <w:r>
        <w:rPr>
          <w:rFonts w:hint="eastAsia" w:ascii="方正仿宋_GB2312" w:hAnsi="方正仿宋_GB2312" w:eastAsia="方正仿宋_GB2312" w:cs="方正仿宋_GB2312"/>
          <w:color w:val="auto"/>
          <w:szCs w:val="24"/>
        </w:rPr>
        <w:t>对产品进行平台验收，需要国家法定检验部门进行检验或验收的由</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负责联系。验收合格后，填写政府采购项目验收单（一式伍份）作为对软硬件的最终认可。</w:t>
      </w:r>
    </w:p>
    <w:p w14:paraId="684D184D">
      <w:pPr>
        <w:autoSpaceDE w:val="0"/>
        <w:autoSpaceDN w:val="0"/>
        <w:adjustRightInd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（四）验收依据</w:t>
      </w:r>
    </w:p>
    <w:p w14:paraId="70AA3BCE">
      <w:pPr>
        <w:autoSpaceDE w:val="0"/>
        <w:autoSpaceDN w:val="0"/>
        <w:adjustRightInd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1、</w:t>
      </w:r>
      <w:r>
        <w:rPr>
          <w:rFonts w:hint="eastAsia" w:ascii="方正仿宋_GB2312" w:hAnsi="方正仿宋_GB2312" w:eastAsia="方正仿宋_GB2312" w:cs="方正仿宋_GB2312"/>
          <w:szCs w:val="24"/>
          <w:lang w:val="en-US"/>
        </w:rPr>
        <w:t>竞争性磋商</w:t>
      </w:r>
      <w:r>
        <w:rPr>
          <w:rFonts w:hint="eastAsia" w:ascii="方正仿宋_GB2312" w:hAnsi="方正仿宋_GB2312" w:eastAsia="方正仿宋_GB2312" w:cs="方正仿宋_GB2312"/>
          <w:szCs w:val="24"/>
        </w:rPr>
        <w:t>文件、</w:t>
      </w:r>
      <w:r>
        <w:rPr>
          <w:rFonts w:hint="eastAsia" w:ascii="方正仿宋_GB2312" w:hAnsi="方正仿宋_GB2312" w:eastAsia="方正仿宋_GB2312" w:cs="方正仿宋_GB2312"/>
          <w:szCs w:val="24"/>
          <w:lang w:val="en-US"/>
        </w:rPr>
        <w:t>响应</w:t>
      </w:r>
      <w:r>
        <w:rPr>
          <w:rFonts w:hint="eastAsia" w:ascii="方正仿宋_GB2312" w:hAnsi="方正仿宋_GB2312" w:eastAsia="方正仿宋_GB2312" w:cs="方正仿宋_GB2312"/>
          <w:szCs w:val="24"/>
        </w:rPr>
        <w:t>文件、澄清表（函）；</w:t>
      </w:r>
    </w:p>
    <w:p w14:paraId="4DC53503">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2、本合同及附件文本；</w:t>
      </w:r>
    </w:p>
    <w:p w14:paraId="218F9294">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3、合同签订时国家及行业现行的标准和技术规范。</w:t>
      </w:r>
    </w:p>
    <w:p w14:paraId="1BF6ED1E">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（五）</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应向采购人提交项目实施过程中的所有资料，以便采购人日后管理和维护。</w:t>
      </w:r>
    </w:p>
    <w:p w14:paraId="6AF357F6">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（六）在得到</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验收要求通知后，采购人应积极准备验收，验收合格后出具验收报告。</w:t>
      </w:r>
    </w:p>
    <w:p w14:paraId="14825DD3">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九、售后服务</w:t>
      </w:r>
    </w:p>
    <w:p w14:paraId="68561907">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项目验收后由中标人免费维保一年，内容包括但不限于系统Bug修复、性能调优、功能优化和改进、系统运维支持和其他咨询服务等。</w:t>
      </w:r>
    </w:p>
    <w:p w14:paraId="4A0B1648">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（一）质保期内</w:t>
      </w:r>
    </w:p>
    <w:p w14:paraId="2662A1D9">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1、凡正常使用中出现的故障，均由</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负责提供免费检测维修、更换不合格的零部件直至整机（更换的零部件或整机应保证自更换之日起提供相同的质量保证期），若需返厂处理，</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应承担相关费用。同时记录检修情况，并向采购人提供检修报告。</w:t>
      </w:r>
    </w:p>
    <w:p w14:paraId="30E7C592">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2、负责软件、设备和系统的运行维护工作，持续提供系统优化方案和技术解决方案，保证设备和系统每天24小时正常工作。</w:t>
      </w:r>
    </w:p>
    <w:p w14:paraId="46932D4F">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3、免费提供每周7×24小时不间断的电话支持服务，网络安全产品需提供至少1年病毒库更新服务，解答用户在使用过程中遇到的问题，及时提出解决问题的建议和对策。</w:t>
      </w:r>
    </w:p>
    <w:p w14:paraId="173DFD2E">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4、运维服务：7*24小时技术支持,10分钟内响应，2小时内达到现场，4小时内给出解决方案，12小时内解决故障；提供系统优化咨询、规划服务。</w:t>
      </w:r>
    </w:p>
    <w:p w14:paraId="40267A25">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5、定期派专业维修人员到现场走访，给予检查维护。并向采购人提供巡检单（一式两份，由双方签字确认），内容包含但不限于巡检时间、巡检内容、巡检结果。</w:t>
      </w:r>
    </w:p>
    <w:p w14:paraId="1F28AC45">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6、款项结清前，对所供软硬件进行一次全面检测、保养和维护。</w:t>
      </w:r>
    </w:p>
    <w:p w14:paraId="766589D6">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（二）质保期满后</w:t>
      </w:r>
    </w:p>
    <w:p w14:paraId="3065CE7B">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应保证以合理的价格提供维护和保养服务，当发生故障时，</w:t>
      </w:r>
      <w:r>
        <w:rPr>
          <w:rFonts w:hint="eastAsia" w:ascii="方正仿宋_GB2312" w:hAnsi="方正仿宋_GB2312" w:eastAsia="方正仿宋_GB2312" w:cs="方正仿宋_GB2312"/>
          <w:color w:val="auto"/>
          <w:szCs w:val="24"/>
          <w:lang w:val="en-US"/>
        </w:rPr>
        <w:t>供应商</w:t>
      </w:r>
      <w:r>
        <w:rPr>
          <w:rFonts w:hint="eastAsia" w:ascii="方正仿宋_GB2312" w:hAnsi="方正仿宋_GB2312" w:eastAsia="方正仿宋_GB2312" w:cs="方正仿宋_GB2312"/>
          <w:color w:val="auto"/>
          <w:szCs w:val="24"/>
        </w:rPr>
        <w:t>应按质保期内相同的服务标准进行维护处理。</w:t>
      </w:r>
    </w:p>
    <w:p w14:paraId="4CAF0259">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（三）人员培训</w:t>
      </w:r>
    </w:p>
    <w:p w14:paraId="70F9FCFA">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提供软硬件的现场培训，使采购人操作、维护人员（约2人）掌握操作使用、维护保养及其他必备知识。采购人要求派遣专业技术人员参与项目实施的，在项目整体实施及质保期内，随时向采购人技术人员讲解技术和实施方案。培训费用已包含在合同总价内。</w:t>
      </w:r>
    </w:p>
    <w:p w14:paraId="416AEB32">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十、技术与服务</w:t>
      </w:r>
    </w:p>
    <w:p w14:paraId="3DCDB80D">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（一）技术资料</w:t>
      </w:r>
    </w:p>
    <w:p w14:paraId="181AB13A">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1、需求报告、总体设计、详细设计报告及数据字典等技术文档；</w:t>
      </w:r>
    </w:p>
    <w:p w14:paraId="530DC421">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2、技术/使用手册：</w:t>
      </w:r>
    </w:p>
    <w:p w14:paraId="5229F975">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（1）系统维护手册</w:t>
      </w:r>
    </w:p>
    <w:p w14:paraId="2F53E4AE">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（2）用户操作手册</w:t>
      </w:r>
    </w:p>
    <w:p w14:paraId="4078C59F">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（3）系统模块说明书</w:t>
      </w:r>
    </w:p>
    <w:p w14:paraId="74423981">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（4）系统测试报告</w:t>
      </w:r>
    </w:p>
    <w:p w14:paraId="2BA4F46A">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（5）系统实施报告</w:t>
      </w:r>
    </w:p>
    <w:p w14:paraId="7241455F">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（6）需求变更说明书</w:t>
      </w:r>
    </w:p>
    <w:p w14:paraId="4D0F3690">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3、硬件合格证；</w:t>
      </w:r>
    </w:p>
    <w:p w14:paraId="5BACFF43">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4、其它资料。</w:t>
      </w:r>
    </w:p>
    <w:p w14:paraId="16C99C16">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（二）服务承诺</w:t>
      </w:r>
    </w:p>
    <w:p w14:paraId="4F75BD4D">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以</w:t>
      </w:r>
      <w:r>
        <w:rPr>
          <w:rFonts w:hint="eastAsia" w:ascii="方正仿宋_GB2312" w:hAnsi="方正仿宋_GB2312" w:eastAsia="方正仿宋_GB2312" w:cs="方正仿宋_GB2312"/>
          <w:szCs w:val="24"/>
          <w:lang w:val="en-US"/>
        </w:rPr>
        <w:t>响应</w:t>
      </w:r>
      <w:r>
        <w:rPr>
          <w:rFonts w:hint="eastAsia" w:ascii="方正仿宋_GB2312" w:hAnsi="方正仿宋_GB2312" w:eastAsia="方正仿宋_GB2312" w:cs="方正仿宋_GB2312"/>
          <w:szCs w:val="24"/>
        </w:rPr>
        <w:t>文件、澄清表（函）、合同和随软硬件的相关文件为准。</w:t>
      </w:r>
    </w:p>
    <w:p w14:paraId="72EC0D7C">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十一、违约责任</w:t>
      </w:r>
    </w:p>
    <w:p w14:paraId="64CE3812">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（一）如</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事先未征得采购人书面同意而单方面延迟完成项目的，每逾期一日按照合同总额的万分之五承担违约责任；</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逾期累计15天以上的，采购人有权解除合同,并承担合同价款30%的违约金。</w:t>
      </w:r>
    </w:p>
    <w:p w14:paraId="5649E547">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（二）</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所供主要硬件或软件不符合</w:t>
      </w:r>
      <w:r>
        <w:rPr>
          <w:rFonts w:hint="eastAsia" w:ascii="方正仿宋_GB2312" w:hAnsi="方正仿宋_GB2312" w:eastAsia="方正仿宋_GB2312" w:cs="方正仿宋_GB2312"/>
          <w:szCs w:val="24"/>
          <w:lang w:val="en-US"/>
        </w:rPr>
        <w:t>磋商</w:t>
      </w:r>
      <w:r>
        <w:rPr>
          <w:rFonts w:hint="eastAsia" w:ascii="方正仿宋_GB2312" w:hAnsi="方正仿宋_GB2312" w:eastAsia="方正仿宋_GB2312" w:cs="方正仿宋_GB2312"/>
          <w:szCs w:val="24"/>
        </w:rPr>
        <w:t>文件规定或不合格的或本项目不能通过验收的，采购人有权解除合同，同时采购人有权扣除质保金，并要求其承担合同价款30%的违约金。</w:t>
      </w:r>
    </w:p>
    <w:p w14:paraId="6BEDAD5B">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（三）部分设备不合格的，采购人有权要求</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在指定期间内免费更换，</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拒不更换的，采购人有权自行或委托第三方购买设备，但设备供应费、运输费等合理费用由</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承担。上述费用从质保金中扣除，不足部分由</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承担。同时，</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应在三日内补足质保金。</w:t>
      </w:r>
    </w:p>
    <w:p w14:paraId="182070BA">
      <w:pPr>
        <w:autoSpaceDE w:val="0"/>
        <w:autoSpaceDN w:val="0"/>
        <w:adjustRightInd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（四）质保期内</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未按照</w:t>
      </w:r>
      <w:r>
        <w:rPr>
          <w:rFonts w:hint="eastAsia" w:ascii="方正仿宋_GB2312" w:hAnsi="方正仿宋_GB2312" w:eastAsia="方正仿宋_GB2312" w:cs="方正仿宋_GB2312"/>
          <w:szCs w:val="24"/>
          <w:lang w:val="en-US"/>
        </w:rPr>
        <w:t>磋商</w:t>
      </w:r>
      <w:r>
        <w:rPr>
          <w:rFonts w:hint="eastAsia" w:ascii="方正仿宋_GB2312" w:hAnsi="方正仿宋_GB2312" w:eastAsia="方正仿宋_GB2312" w:cs="方正仿宋_GB2312"/>
          <w:szCs w:val="24"/>
        </w:rPr>
        <w:t>文件、</w:t>
      </w:r>
      <w:r>
        <w:rPr>
          <w:rFonts w:hint="eastAsia" w:ascii="方正仿宋_GB2312" w:hAnsi="方正仿宋_GB2312" w:eastAsia="方正仿宋_GB2312" w:cs="方正仿宋_GB2312"/>
          <w:szCs w:val="24"/>
          <w:lang w:val="en-US"/>
        </w:rPr>
        <w:t>响应</w:t>
      </w:r>
      <w:r>
        <w:rPr>
          <w:rFonts w:hint="eastAsia" w:ascii="方正仿宋_GB2312" w:hAnsi="方正仿宋_GB2312" w:eastAsia="方正仿宋_GB2312" w:cs="方正仿宋_GB2312"/>
          <w:szCs w:val="24"/>
        </w:rPr>
        <w:t>文件规定及合同约定提供维保服务的，采购人有权指定第三方提供维保服务，但第三方维修费、交通费、人工费等合理费用由</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承担。上述相关费用从质保金中扣除，质保金不足的，</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应在三日内补足质保金。</w:t>
      </w:r>
    </w:p>
    <w:p w14:paraId="2F913C01">
      <w:pPr>
        <w:autoSpaceDE w:val="0"/>
        <w:autoSpaceDN w:val="0"/>
        <w:adjustRightInd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（五）因</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提供的硬件软件等服务侵害他人权利或者造成采购人损害的，</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承担全招标部赔偿责任。</w:t>
      </w:r>
    </w:p>
    <w:p w14:paraId="71B7C12F">
      <w:pPr>
        <w:autoSpaceDE w:val="0"/>
        <w:autoSpaceDN w:val="0"/>
        <w:adjustRightInd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（六）</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在提供服务过程中造成他人损害的，由</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承担全部责任。</w:t>
      </w:r>
    </w:p>
    <w:p w14:paraId="317B2B93">
      <w:pPr>
        <w:autoSpaceDE w:val="0"/>
        <w:autoSpaceDN w:val="0"/>
        <w:adjustRightInd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（七）</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应在收到解除通知后7天内退还已收取的款项。上述约定的违约条款可合并适用，合并适用后仍不能弥补采购人损失的，采购人有权继续追偿。</w:t>
      </w:r>
    </w:p>
    <w:p w14:paraId="5D4377D9">
      <w:pPr>
        <w:autoSpaceDE w:val="0"/>
        <w:autoSpaceDN w:val="0"/>
        <w:adjustRightInd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（八）未按合同要求提供软硬件及服务或软硬件及服务质量不能满足合同要求，采购人应当将</w:t>
      </w:r>
      <w:r>
        <w:rPr>
          <w:rFonts w:hint="eastAsia" w:ascii="方正仿宋_GB2312" w:hAnsi="方正仿宋_GB2312" w:eastAsia="方正仿宋_GB2312" w:cs="方正仿宋_GB2312"/>
          <w:szCs w:val="24"/>
          <w:lang w:val="en-US"/>
        </w:rPr>
        <w:t>供应商</w:t>
      </w:r>
      <w:r>
        <w:rPr>
          <w:rFonts w:hint="eastAsia" w:ascii="方正仿宋_GB2312" w:hAnsi="方正仿宋_GB2312" w:eastAsia="方正仿宋_GB2312" w:cs="方正仿宋_GB2312"/>
          <w:szCs w:val="24"/>
        </w:rPr>
        <w:t>违约的情况以及拟采取的措施以书面形式报政府采购监管部门，根据政府采购监管部门的处理意见，采购人有权依据《合同法》有关条款及合同约定终止合同，并要求服务商承担违约责任。同时，政府采购监管部门有权依据《政府采购法》及相关法律法规对服务商的违法行为进行相应的处罚。</w:t>
      </w:r>
    </w:p>
    <w:p w14:paraId="0059AAAF">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十二、合同争议的解决</w:t>
      </w:r>
    </w:p>
    <w:p w14:paraId="0AF5AFCE">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合同执行中发生争议的，当事人双方应协商解决，协商达不成一致时，向采购人所在地人民法院提请诉讼。</w:t>
      </w:r>
    </w:p>
    <w:p w14:paraId="0E66161B">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十三、在发生不可抗力情况下的应对措施和解决办法：</w:t>
      </w:r>
    </w:p>
    <w:p w14:paraId="7D6AC85C">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一）在合同有效期内，因不可抗力事件，如：火灾、地震、洪水、雷击等自然灾害、战争、戒严或其他超出双方合理控制范围内，不可抗力事件导致迟延或者不能履行合同，应当及时以书面形式通知对方，说明原由、拖延的期限等；</w:t>
      </w:r>
    </w:p>
    <w:p w14:paraId="04957C15">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（二）不可抗力事件发生后，应立即通知对方，并寄送有关权威机构出具的证明。</w:t>
      </w:r>
    </w:p>
    <w:p w14:paraId="75C5D6DE">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（三）不可抗力事件延续 15 天以上，双方应通过友好协商，确定是否继续履行合同。</w:t>
      </w:r>
    </w:p>
    <w:p w14:paraId="41D0E70D">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十四、合同一经签订，不得擅自变更、中止或者终止合同。对确需变更、调整或者中止、终止合同的，应按规定履行相应的手续。</w:t>
      </w:r>
    </w:p>
    <w:p w14:paraId="063CC6DA">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十四、其他</w:t>
      </w:r>
    </w:p>
    <w:p w14:paraId="64A5469A">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（一）合同份数：见正式合同。</w:t>
      </w:r>
    </w:p>
    <w:p w14:paraId="33925EA2">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（二）补充条款：具体内容以正式合同为准。</w:t>
      </w:r>
    </w:p>
    <w:p w14:paraId="11453AC8">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十五、合同订立</w:t>
      </w:r>
    </w:p>
    <w:p w14:paraId="27ECBA8A">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1. 订立时间：          年       月      日。</w:t>
      </w:r>
    </w:p>
    <w:p w14:paraId="3FBCF63B">
      <w:pPr>
        <w:autoSpaceDE w:val="0"/>
        <w:autoSpaceDN w:val="0"/>
        <w:adjustRightInd w:val="0"/>
        <w:spacing w:line="360" w:lineRule="auto"/>
        <w:ind w:firstLine="480" w:firstLineChars="200"/>
        <w:jc w:val="both"/>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2. 订立地点：                                 。</w:t>
      </w:r>
    </w:p>
    <w:p w14:paraId="4F3F14D1">
      <w:pPr>
        <w:pStyle w:val="6"/>
        <w:jc w:val="both"/>
        <w:rPr>
          <w:rFonts w:ascii="方正仿宋_GB2312" w:hAnsi="方正仿宋_GB2312" w:eastAsia="方正仿宋_GB2312" w:cs="方正仿宋_GB2312"/>
          <w:sz w:val="24"/>
          <w:szCs w:val="24"/>
          <w:lang w:eastAsia="zh-CN"/>
        </w:rPr>
      </w:pPr>
      <w:r>
        <w:rPr>
          <w:rFonts w:ascii="方正仿宋_GB2312" w:hAnsi="方正仿宋_GB2312" w:eastAsia="方正仿宋_GB2312" w:cs="方正仿宋_GB2312"/>
          <w:sz w:val="24"/>
          <w:szCs w:val="24"/>
          <w:lang w:eastAsia="zh-CN"/>
        </w:rPr>
        <w:t>3. 本合同一式</w:t>
      </w:r>
      <w:r>
        <w:rPr>
          <w:rFonts w:ascii="方正仿宋_GB2312" w:hAnsi="方正仿宋_GB2312" w:eastAsia="方正仿宋_GB2312" w:cs="方正仿宋_GB2312"/>
          <w:sz w:val="24"/>
          <w:szCs w:val="24"/>
          <w:u w:val="single"/>
          <w:lang w:eastAsia="zh-CN"/>
        </w:rPr>
        <w:t xml:space="preserve">    </w:t>
      </w:r>
      <w:r>
        <w:rPr>
          <w:rFonts w:ascii="方正仿宋_GB2312" w:hAnsi="方正仿宋_GB2312" w:eastAsia="方正仿宋_GB2312" w:cs="方正仿宋_GB2312"/>
          <w:sz w:val="24"/>
          <w:szCs w:val="24"/>
          <w:lang w:eastAsia="zh-CN"/>
        </w:rPr>
        <w:t>份，具有同等法律效力，双方各执</w:t>
      </w:r>
      <w:r>
        <w:rPr>
          <w:rFonts w:ascii="方正仿宋_GB2312" w:hAnsi="方正仿宋_GB2312" w:eastAsia="方正仿宋_GB2312" w:cs="方正仿宋_GB2312"/>
          <w:sz w:val="24"/>
          <w:szCs w:val="24"/>
          <w:u w:val="single"/>
          <w:lang w:eastAsia="zh-CN"/>
        </w:rPr>
        <w:t xml:space="preserve">     </w:t>
      </w:r>
      <w:r>
        <w:rPr>
          <w:rFonts w:ascii="方正仿宋_GB2312" w:hAnsi="方正仿宋_GB2312" w:eastAsia="方正仿宋_GB2312" w:cs="方正仿宋_GB2312"/>
          <w:sz w:val="24"/>
          <w:szCs w:val="24"/>
          <w:lang w:eastAsia="zh-CN"/>
        </w:rPr>
        <w:t>份，监管部门备案壹份、采购代理机构存档壹份。各方签字盖章后生效，合同执行完毕自动失效。（合同的服务承诺则长期有效）。</w:t>
      </w:r>
    </w:p>
    <w:p w14:paraId="420E7888">
      <w:pP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br w:type="page"/>
      </w:r>
    </w:p>
    <w:p w14:paraId="4032D4BF">
      <w:pPr>
        <w:pStyle w:val="6"/>
        <w:rPr>
          <w:rFonts w:ascii="方正仿宋_GB2312" w:hAnsi="方正仿宋_GB2312" w:eastAsia="方正仿宋_GB2312" w:cs="方正仿宋_GB2312"/>
          <w:sz w:val="24"/>
          <w:szCs w:val="24"/>
          <w:lang w:eastAsia="zh-CN"/>
        </w:rPr>
      </w:pPr>
      <w:r>
        <w:rPr>
          <w:rFonts w:ascii="方正仿宋_GB2312" w:hAnsi="方正仿宋_GB2312" w:eastAsia="方正仿宋_GB2312" w:cs="方正仿宋_GB2312"/>
          <w:sz w:val="24"/>
          <w:szCs w:val="24"/>
          <w:lang w:eastAsia="zh-CN"/>
        </w:rPr>
        <w:t>（以下无正文）</w:t>
      </w:r>
    </w:p>
    <w:tbl>
      <w:tblPr>
        <w:tblStyle w:val="4"/>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2"/>
        <w:gridCol w:w="3011"/>
        <w:gridCol w:w="3043"/>
      </w:tblGrid>
      <w:tr w14:paraId="67A9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3002" w:type="dxa"/>
            <w:vAlign w:val="center"/>
          </w:tcPr>
          <w:p w14:paraId="791866F8">
            <w:pP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lang w:val="zh-CN"/>
              </w:rPr>
              <w:br w:type="page"/>
            </w:r>
            <w:r>
              <w:rPr>
                <w:rFonts w:hint="eastAsia" w:ascii="方正仿宋_GB2312" w:hAnsi="方正仿宋_GB2312" w:eastAsia="方正仿宋_GB2312" w:cs="方正仿宋_GB2312"/>
                <w:szCs w:val="24"/>
              </w:rPr>
              <w:t>甲方：</w:t>
            </w:r>
          </w:p>
          <w:p w14:paraId="38333227">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（盖章）</w:t>
            </w:r>
          </w:p>
        </w:tc>
        <w:tc>
          <w:tcPr>
            <w:tcW w:w="3011" w:type="dxa"/>
            <w:vAlign w:val="center"/>
          </w:tcPr>
          <w:p w14:paraId="1F17D7F7">
            <w:pPr>
              <w:adjustRightInd w:val="0"/>
              <w:snapToGrid w:val="0"/>
              <w:spacing w:line="360" w:lineRule="auto"/>
              <w:ind w:firstLine="720" w:firstLineChars="3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乙方：</w:t>
            </w:r>
          </w:p>
          <w:p w14:paraId="70C4D161">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（盖章）</w:t>
            </w:r>
          </w:p>
        </w:tc>
        <w:tc>
          <w:tcPr>
            <w:tcW w:w="3043" w:type="dxa"/>
            <w:vAlign w:val="center"/>
          </w:tcPr>
          <w:p w14:paraId="49A16E59">
            <w:pPr>
              <w:adjustRightInd w:val="0"/>
              <w:snapToGrid w:val="0"/>
              <w:spacing w:line="360" w:lineRule="auto"/>
              <w:ind w:firstLine="720" w:firstLineChars="3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见证方：</w:t>
            </w:r>
          </w:p>
          <w:p w14:paraId="51132CC4">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（盖章）</w:t>
            </w:r>
          </w:p>
        </w:tc>
      </w:tr>
      <w:tr w14:paraId="7D2D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3002" w:type="dxa"/>
            <w:vAlign w:val="center"/>
          </w:tcPr>
          <w:p w14:paraId="601467CC">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地址：</w:t>
            </w:r>
          </w:p>
        </w:tc>
        <w:tc>
          <w:tcPr>
            <w:tcW w:w="3011" w:type="dxa"/>
            <w:vAlign w:val="center"/>
          </w:tcPr>
          <w:p w14:paraId="09DEEC4E">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地址：</w:t>
            </w:r>
          </w:p>
        </w:tc>
        <w:tc>
          <w:tcPr>
            <w:tcW w:w="3043" w:type="dxa"/>
            <w:vAlign w:val="center"/>
          </w:tcPr>
          <w:p w14:paraId="481C3517">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地址：</w:t>
            </w:r>
          </w:p>
        </w:tc>
      </w:tr>
      <w:tr w14:paraId="75DA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3002" w:type="dxa"/>
            <w:vAlign w:val="center"/>
          </w:tcPr>
          <w:p w14:paraId="59B39022">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邮编：</w:t>
            </w:r>
          </w:p>
        </w:tc>
        <w:tc>
          <w:tcPr>
            <w:tcW w:w="3011" w:type="dxa"/>
            <w:vAlign w:val="center"/>
          </w:tcPr>
          <w:p w14:paraId="58AD5452">
            <w:pPr>
              <w:adjustRightInd w:val="0"/>
              <w:snapToGrid w:val="0"/>
              <w:spacing w:line="360" w:lineRule="auto"/>
              <w:jc w:val="center"/>
              <w:rPr>
                <w:rFonts w:hint="eastAsia" w:ascii="方正仿宋_GB2312" w:hAnsi="方正仿宋_GB2312" w:eastAsia="方正仿宋_GB2312" w:cs="方正仿宋_GB2312"/>
                <w:szCs w:val="24"/>
                <w:lang w:eastAsia="zh-Hans"/>
              </w:rPr>
            </w:pPr>
            <w:r>
              <w:rPr>
                <w:rFonts w:hint="eastAsia" w:ascii="方正仿宋_GB2312" w:hAnsi="方正仿宋_GB2312" w:eastAsia="方正仿宋_GB2312" w:cs="方正仿宋_GB2312"/>
                <w:szCs w:val="24"/>
              </w:rPr>
              <w:t>邮编：</w:t>
            </w:r>
          </w:p>
        </w:tc>
        <w:tc>
          <w:tcPr>
            <w:tcW w:w="3043" w:type="dxa"/>
            <w:vAlign w:val="center"/>
          </w:tcPr>
          <w:p w14:paraId="0C88C42E">
            <w:pPr>
              <w:adjustRightInd w:val="0"/>
              <w:snapToGrid w:val="0"/>
              <w:spacing w:line="360" w:lineRule="auto"/>
              <w:jc w:val="center"/>
              <w:rPr>
                <w:rFonts w:hint="eastAsia" w:ascii="方正仿宋_GB2312" w:hAnsi="方正仿宋_GB2312" w:eastAsia="方正仿宋_GB2312" w:cs="方正仿宋_GB2312"/>
                <w:szCs w:val="24"/>
                <w:lang w:eastAsia="zh-Hans"/>
              </w:rPr>
            </w:pPr>
            <w:r>
              <w:rPr>
                <w:rFonts w:hint="eastAsia" w:ascii="方正仿宋_GB2312" w:hAnsi="方正仿宋_GB2312" w:eastAsia="方正仿宋_GB2312" w:cs="方正仿宋_GB2312"/>
                <w:szCs w:val="24"/>
              </w:rPr>
              <w:t>邮编：</w:t>
            </w:r>
          </w:p>
        </w:tc>
      </w:tr>
      <w:tr w14:paraId="4025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3002" w:type="dxa"/>
            <w:vAlign w:val="center"/>
          </w:tcPr>
          <w:p w14:paraId="65CC9FA0">
            <w:pPr>
              <w:adjustRightInd w:val="0"/>
              <w:snapToGrid w:val="0"/>
              <w:spacing w:line="360" w:lineRule="auto"/>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法定代表人（签字或盖章）：</w:t>
            </w:r>
          </w:p>
        </w:tc>
        <w:tc>
          <w:tcPr>
            <w:tcW w:w="3011" w:type="dxa"/>
            <w:vAlign w:val="center"/>
          </w:tcPr>
          <w:p w14:paraId="7614A725">
            <w:pPr>
              <w:adjustRightInd w:val="0"/>
              <w:snapToGrid w:val="0"/>
              <w:spacing w:line="360" w:lineRule="auto"/>
              <w:rPr>
                <w:rFonts w:hint="eastAsia" w:ascii="方正仿宋_GB2312" w:hAnsi="方正仿宋_GB2312" w:eastAsia="方正仿宋_GB2312" w:cs="方正仿宋_GB2312"/>
                <w:szCs w:val="24"/>
                <w:lang w:eastAsia="zh-Hans"/>
              </w:rPr>
            </w:pPr>
            <w:r>
              <w:rPr>
                <w:rFonts w:hint="eastAsia" w:ascii="方正仿宋_GB2312" w:hAnsi="方正仿宋_GB2312" w:eastAsia="方正仿宋_GB2312" w:cs="方正仿宋_GB2312"/>
                <w:szCs w:val="24"/>
              </w:rPr>
              <w:t>法定代表人（签字或盖章）：</w:t>
            </w:r>
          </w:p>
        </w:tc>
        <w:tc>
          <w:tcPr>
            <w:tcW w:w="3043" w:type="dxa"/>
            <w:vAlign w:val="center"/>
          </w:tcPr>
          <w:p w14:paraId="115D3779">
            <w:pPr>
              <w:adjustRightInd w:val="0"/>
              <w:snapToGrid w:val="0"/>
              <w:spacing w:line="360" w:lineRule="auto"/>
              <w:rPr>
                <w:rFonts w:hint="eastAsia" w:ascii="方正仿宋_GB2312" w:hAnsi="方正仿宋_GB2312" w:eastAsia="方正仿宋_GB2312" w:cs="方正仿宋_GB2312"/>
                <w:szCs w:val="24"/>
                <w:lang w:eastAsia="zh-Hans"/>
              </w:rPr>
            </w:pPr>
            <w:r>
              <w:rPr>
                <w:rFonts w:hint="eastAsia" w:ascii="方正仿宋_GB2312" w:hAnsi="方正仿宋_GB2312" w:eastAsia="方正仿宋_GB2312" w:cs="方正仿宋_GB2312"/>
                <w:szCs w:val="24"/>
              </w:rPr>
              <w:t>法定代表人（签字或盖章）：</w:t>
            </w:r>
          </w:p>
        </w:tc>
      </w:tr>
      <w:tr w14:paraId="17954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002" w:type="dxa"/>
            <w:vAlign w:val="center"/>
          </w:tcPr>
          <w:p w14:paraId="048391F8">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电话：</w:t>
            </w:r>
          </w:p>
        </w:tc>
        <w:tc>
          <w:tcPr>
            <w:tcW w:w="3011" w:type="dxa"/>
            <w:vAlign w:val="center"/>
          </w:tcPr>
          <w:p w14:paraId="46837AD6">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电话：</w:t>
            </w:r>
          </w:p>
        </w:tc>
        <w:tc>
          <w:tcPr>
            <w:tcW w:w="3043" w:type="dxa"/>
            <w:vAlign w:val="center"/>
          </w:tcPr>
          <w:p w14:paraId="3D0C2FDF">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电话：</w:t>
            </w:r>
          </w:p>
        </w:tc>
      </w:tr>
      <w:tr w14:paraId="4E16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3002" w:type="dxa"/>
            <w:vAlign w:val="center"/>
          </w:tcPr>
          <w:p w14:paraId="54BD35DF">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传真：</w:t>
            </w:r>
          </w:p>
        </w:tc>
        <w:tc>
          <w:tcPr>
            <w:tcW w:w="3011" w:type="dxa"/>
            <w:vAlign w:val="center"/>
          </w:tcPr>
          <w:p w14:paraId="79C88267">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传真：</w:t>
            </w:r>
          </w:p>
        </w:tc>
        <w:tc>
          <w:tcPr>
            <w:tcW w:w="3043" w:type="dxa"/>
            <w:vAlign w:val="center"/>
          </w:tcPr>
          <w:p w14:paraId="1C3F93D2">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传真：</w:t>
            </w:r>
          </w:p>
        </w:tc>
      </w:tr>
      <w:tr w14:paraId="21B0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3002" w:type="dxa"/>
            <w:vAlign w:val="center"/>
          </w:tcPr>
          <w:p w14:paraId="52A1BF88">
            <w:pPr>
              <w:adjustRightInd w:val="0"/>
              <w:snapToGrid w:val="0"/>
              <w:spacing w:line="360" w:lineRule="auto"/>
              <w:ind w:firstLine="480" w:firstLineChars="200"/>
              <w:rPr>
                <w:rFonts w:hint="eastAsia" w:ascii="方正仿宋_GB2312" w:hAnsi="方正仿宋_GB2312" w:eastAsia="方正仿宋_GB2312" w:cs="方正仿宋_GB2312"/>
                <w:szCs w:val="24"/>
              </w:rPr>
            </w:pPr>
          </w:p>
        </w:tc>
        <w:tc>
          <w:tcPr>
            <w:tcW w:w="3011" w:type="dxa"/>
            <w:vAlign w:val="center"/>
          </w:tcPr>
          <w:p w14:paraId="223D98B4">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开户银行：</w:t>
            </w:r>
          </w:p>
        </w:tc>
        <w:tc>
          <w:tcPr>
            <w:tcW w:w="3043" w:type="dxa"/>
            <w:vAlign w:val="center"/>
          </w:tcPr>
          <w:p w14:paraId="3017F221">
            <w:pPr>
              <w:adjustRightInd w:val="0"/>
              <w:snapToGrid w:val="0"/>
              <w:spacing w:line="360" w:lineRule="auto"/>
              <w:ind w:firstLine="480" w:firstLineChars="200"/>
              <w:rPr>
                <w:rFonts w:hint="eastAsia" w:ascii="方正仿宋_GB2312" w:hAnsi="方正仿宋_GB2312" w:eastAsia="方正仿宋_GB2312" w:cs="方正仿宋_GB2312"/>
                <w:szCs w:val="24"/>
              </w:rPr>
            </w:pPr>
          </w:p>
        </w:tc>
      </w:tr>
      <w:tr w14:paraId="6B26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3002" w:type="dxa"/>
            <w:vAlign w:val="center"/>
          </w:tcPr>
          <w:p w14:paraId="12E05BD4">
            <w:pPr>
              <w:adjustRightInd w:val="0"/>
              <w:snapToGrid w:val="0"/>
              <w:spacing w:line="360" w:lineRule="auto"/>
              <w:ind w:firstLine="480" w:firstLineChars="200"/>
              <w:rPr>
                <w:rFonts w:hint="eastAsia" w:ascii="方正仿宋_GB2312" w:hAnsi="方正仿宋_GB2312" w:eastAsia="方正仿宋_GB2312" w:cs="方正仿宋_GB2312"/>
                <w:szCs w:val="24"/>
              </w:rPr>
            </w:pPr>
          </w:p>
        </w:tc>
        <w:tc>
          <w:tcPr>
            <w:tcW w:w="3011" w:type="dxa"/>
            <w:vAlign w:val="center"/>
          </w:tcPr>
          <w:p w14:paraId="442F97D3">
            <w:pPr>
              <w:adjustRightInd w:val="0"/>
              <w:snapToGrid w:val="0"/>
              <w:spacing w:line="360" w:lineRule="auto"/>
              <w:jc w:val="center"/>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账号：</w:t>
            </w:r>
          </w:p>
        </w:tc>
        <w:tc>
          <w:tcPr>
            <w:tcW w:w="3043" w:type="dxa"/>
            <w:vAlign w:val="center"/>
          </w:tcPr>
          <w:p w14:paraId="70E06240">
            <w:pPr>
              <w:adjustRightInd w:val="0"/>
              <w:snapToGrid w:val="0"/>
              <w:spacing w:line="360" w:lineRule="auto"/>
              <w:ind w:firstLine="480" w:firstLineChars="200"/>
              <w:rPr>
                <w:rFonts w:hint="eastAsia" w:ascii="方正仿宋_GB2312" w:hAnsi="方正仿宋_GB2312" w:eastAsia="方正仿宋_GB2312" w:cs="方正仿宋_GB2312"/>
                <w:szCs w:val="24"/>
              </w:rPr>
            </w:pPr>
          </w:p>
        </w:tc>
      </w:tr>
      <w:tr w14:paraId="0041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3002" w:type="dxa"/>
            <w:vAlign w:val="center"/>
          </w:tcPr>
          <w:p w14:paraId="30CB9D57">
            <w:pPr>
              <w:adjustRightInd w:val="0"/>
              <w:snapToGrid w:val="0"/>
              <w:spacing w:line="360" w:lineRule="auto"/>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日期：  年  月  日</w:t>
            </w:r>
          </w:p>
        </w:tc>
        <w:tc>
          <w:tcPr>
            <w:tcW w:w="3011" w:type="dxa"/>
            <w:vAlign w:val="center"/>
          </w:tcPr>
          <w:p w14:paraId="0E5FE4F4">
            <w:pPr>
              <w:adjustRightInd w:val="0"/>
              <w:snapToGrid w:val="0"/>
              <w:spacing w:line="360" w:lineRule="auto"/>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日期：  年  月  日</w:t>
            </w:r>
          </w:p>
        </w:tc>
        <w:tc>
          <w:tcPr>
            <w:tcW w:w="3043" w:type="dxa"/>
            <w:vAlign w:val="center"/>
          </w:tcPr>
          <w:p w14:paraId="0FDF3006">
            <w:pPr>
              <w:adjustRightInd w:val="0"/>
              <w:snapToGrid w:val="0"/>
              <w:spacing w:line="360" w:lineRule="auto"/>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日期：  年  月  日</w:t>
            </w:r>
          </w:p>
        </w:tc>
      </w:tr>
    </w:tbl>
    <w:p w14:paraId="75E076E2">
      <w:pPr>
        <w:rPr>
          <w:rFonts w:hint="default" w:eastAsia="宋体"/>
          <w:lang w:val="en-US" w:eastAsia="zh-CN"/>
        </w:rPr>
      </w:pPr>
      <w:r>
        <w:rPr>
          <w:rFonts w:hint="eastAsia"/>
          <w:b/>
          <w:bCs/>
          <w:sz w:val="28"/>
          <w:szCs w:val="24"/>
          <w:lang w:val="en-US" w:eastAsia="zh-CN"/>
        </w:rPr>
        <w:t>备注：合同范本仅供参考，具体以实际签订为准。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F279C41-41E1-4972-8DEE-3BB78ABA1BC9}"/>
  </w:font>
  <w:font w:name="方正仿宋_GB2312">
    <w:panose1 w:val="02000000000000000000"/>
    <w:charset w:val="86"/>
    <w:family w:val="auto"/>
    <w:pitch w:val="default"/>
    <w:sig w:usb0="A00002BF" w:usb1="184F6CFA" w:usb2="00000012" w:usb3="00000000" w:csb0="00040001" w:csb1="00000000"/>
    <w:embedRegular r:id="rId2" w:fontKey="{D71D879D-D0AD-4619-B49B-40D08F4B3CD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F465A5"/>
    <w:rsid w:val="21F46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after="120" w:line="240" w:lineRule="atLeast"/>
      <w:ind w:firstLine="454"/>
    </w:pPr>
    <w:rPr>
      <w:rFonts w:ascii="Arial" w:hAnsi="Arial" w:eastAsia="宋体" w:cs="Arial"/>
      <w:sz w:val="24"/>
      <w:szCs w:val="22"/>
      <w:lang w:val="en-GB"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_Style 3"/>
    <w:qFormat/>
    <w:uiPriority w:val="0"/>
    <w:pPr>
      <w:widowControl w:val="0"/>
      <w:jc w:val="both"/>
    </w:pPr>
    <w:rPr>
      <w:rFonts w:ascii="Times New Roman" w:hAnsi="Times New Roman" w:eastAsia="Arial" w:cs="Times New Roman"/>
      <w:kern w:val="2"/>
      <w:sz w:val="21"/>
      <w:szCs w:val="22"/>
      <w:lang w:val="en-US" w:eastAsia="zh-CN" w:bidi="ar-SA"/>
    </w:rPr>
  </w:style>
  <w:style w:type="paragraph" w:styleId="3">
    <w:name w:val="Body Text"/>
    <w:basedOn w:val="1"/>
    <w:semiHidden/>
    <w:qFormat/>
    <w:uiPriority w:val="0"/>
    <w:rPr>
      <w:rFonts w:ascii="宋体" w:hAnsi="宋体" w:cs="宋体"/>
      <w:sz w:val="18"/>
      <w:szCs w:val="18"/>
      <w:lang w:eastAsia="en-US"/>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2026-04-07T08:27:00Z</dcterms:created>
  <dc:creator>Джек</dc:creator>
  <cp:lastModifiedBy>Джек</cp:lastModifiedBy>
  <dcterms:modified xsi:type="dcterms:W3CDTF">2026-04-07T08:28:52Z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547AF3F693DF4E18AF84CF0CF86009C0_11</vt:lpwstr>
  </property>
  <property fmtid="{D5CDD505-2E9C-101B-9397-08002B2CF9AE}" pid="4" name="KSOTemplateDocerSaveRecord">
    <vt:lpwstr>eyJoZGlkIjoiODQwYjUxMjQ5MDM1ZGQxMGJiMzAzM2U5NmVkYzI5ODMiLCJ1c2VySWQiOiIyNTU1Nzg4NjQifQ==</vt:lpwstr>
  </property>
</Properties>
</file>