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版本号：SDZC2026-02920260408001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组织开展全民阅读、“旧书新知·书香西安”等阅读推广项目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SDZC2026-029</w:t>
      </w:r>
      <w:r>
        <w:br/>
      </w:r>
      <w:r>
        <w:br/>
      </w:r>
      <w:r>
        <w:br/>
      </w:r>
    </w:p>
    <w:p>
      <w:pPr>
        <w:pStyle w:val="null3"/>
        <w:jc w:val="center"/>
        <w:outlineLvl w:val="2"/>
      </w:pPr>
      <w:r>
        <w:rPr>
          <w:rFonts w:ascii="仿宋_GB2312" w:hAnsi="仿宋_GB2312" w:cs="仿宋_GB2312" w:eastAsia="仿宋_GB2312"/>
          <w:sz w:val="28"/>
          <w:b/>
        </w:rPr>
        <w:t>中共西安市委宣传部（本级）</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中共西安市委宣传部（本级）</w:t>
      </w:r>
      <w:r>
        <w:rPr>
          <w:rFonts w:ascii="仿宋_GB2312" w:hAnsi="仿宋_GB2312" w:cs="仿宋_GB2312" w:eastAsia="仿宋_GB2312"/>
        </w:rPr>
        <w:t>委托，拟对</w:t>
      </w:r>
      <w:r>
        <w:rPr>
          <w:rFonts w:ascii="仿宋_GB2312" w:hAnsi="仿宋_GB2312" w:cs="仿宋_GB2312" w:eastAsia="仿宋_GB2312"/>
        </w:rPr>
        <w:t>组织开展全民阅读、“旧书新知·书香西安”等阅读推广项目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SDZC2026-029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组织开展全民阅读、“旧书新知·书香西安”等阅读推广项目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推动全民阅读、建设书香社会重要指示精神和全市宣传部长会议的工作部署，按照《全民阅读促进条例》的规定，拟围绕“唐诗之都”建设，组织开展“唐诗之都·阅读有你”全民阅读推广活动。活动包括第20届“西安读书月”、红色经典阅读、乡村阅读计划、传统文化阅读和旧书新知大型图书贸易市集及进区县、进高校、进社区等120余场阅读推广活动。</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财务状况报告：提供具有财务审计资质单位出具的2024年度或2025年度完整有效的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社会保障资金缴纳证明：提供截止至开标时间前六个月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p>
      <w:pPr>
        <w:pStyle w:val="null3"/>
      </w:pPr>
      <w:r>
        <w:rPr>
          <w:rFonts w:ascii="仿宋_GB2312" w:hAnsi="仿宋_GB2312" w:cs="仿宋_GB2312" w:eastAsia="仿宋_GB2312"/>
        </w:rPr>
        <w:t>8、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9、控股关系：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中共西安市委宣传部（本级）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冀子弘</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029-67090683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西安市经开区凤城八路正尚国际金融广场A座7层703（张家堡转盘东南角）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郅龙（8号工位）、杨宗峰、魏蕾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029-89293231转808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采购包1：1,440,000.00元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1.开户行名称：陕西上德招标有限公司 2.开 户 行：西安银行股份有限公司文景路支行 3.账 号：707011510000013522 财务部联系方式：029-86673953、029-86518381、029-89299829、029-89293231 转813 备注：供应商在汇款（招标代理服务费）时须注明项目编号+项目简称</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中共西安市委宣传部（本级）</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中共西安市委宣传部（本级）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中共西安市委宣传部（本级）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所有活动组织结束后，委托第三方组织验收会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联系人：郅龙（8号工位）</w:t>
      </w:r>
    </w:p>
    <w:p>
      <w:pPr>
        <w:pStyle w:val="null3"/>
      </w:pPr>
      <w:r>
        <w:rPr>
          <w:rFonts w:ascii="仿宋_GB2312" w:hAnsi="仿宋_GB2312" w:cs="仿宋_GB2312" w:eastAsia="仿宋_GB2312"/>
        </w:rPr>
        <w:t>联系电话：029-86673953、029-86518381、029-89299829、029-89293231转808</w:t>
      </w:r>
    </w:p>
    <w:p>
      <w:pPr>
        <w:pStyle w:val="null3"/>
      </w:pPr>
      <w:r>
        <w:rPr>
          <w:rFonts w:ascii="仿宋_GB2312" w:hAnsi="仿宋_GB2312" w:cs="仿宋_GB2312" w:eastAsia="仿宋_GB2312"/>
        </w:rPr>
        <w:t>地址：西安市经开区凤城八路正尚国际金融广场A座7层703（张家堡转盘东南角）</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推动全民阅读、建设书香社会重要指示精神和全市宣传部长会议的工作部署，按照《全民阅读促进条例》的规定，拟围绕“唐诗之都”建设，组织开展“唐诗之都·阅读有你”全民阅读推广活动。活动包括第20届“西安读书月”、红色经典阅读、乡村阅读计划、传统文化阅读和旧书新知大型图书贸易市集及进区县、进高校、进社区等120余场阅读推广活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1,440,000.00</w:t>
      </w:r>
    </w:p>
    <w:p>
      <w:pPr>
        <w:pStyle w:val="null3"/>
      </w:pPr>
      <w:r>
        <w:rPr>
          <w:rFonts w:ascii="仿宋_GB2312" w:hAnsi="仿宋_GB2312" w:cs="仿宋_GB2312" w:eastAsia="仿宋_GB2312"/>
        </w:rPr>
        <w:t>采购包最高限价（元）: 1,440,000.00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组织开展全民阅读 旧书新知·书香西安 等阅读</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1,440,000.00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标的名称：组织开展全民阅读 旧书新知·书香西安 等阅读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640"/>
              <w:jc w:val="both"/>
            </w:pPr>
            <w:r>
              <w:rPr>
                <w:rFonts w:ascii="仿宋_GB2312" w:hAnsi="仿宋_GB2312" w:cs="仿宋_GB2312" w:eastAsia="仿宋_GB2312"/>
              </w:rPr>
              <w:t>为推动全民阅读、建设书香社会重要指示精神和全市宣传部长会议的工作部署，按照《全民阅读促进条例》的规定，拟围绕“唐诗之都”建设，组织开展“唐诗之都·阅读有你”全民阅读推广活动。活动包括第20届“西安读书月”、红色经典阅读、乡村阅读计划、传统文化阅读和旧书新知大型图书贸易市集及进区县、进高校、进社区等120余场阅读推广活动。</w:t>
            </w:r>
          </w:p>
          <w:p>
            <w:pPr>
              <w:pStyle w:val="null3"/>
            </w:pPr>
            <w:r>
              <w:rPr>
                <w:rFonts w:ascii="仿宋_GB2312" w:hAnsi="仿宋_GB2312" w:cs="仿宋_GB2312" w:eastAsia="仿宋_GB2312"/>
              </w:rPr>
              <w:t>一、组织开展“唐诗之都·阅读有你”——第20届“西安读书月”活动（5月-6月）</w:t>
            </w:r>
          </w:p>
          <w:p>
            <w:pPr>
              <w:pStyle w:val="null3"/>
            </w:pPr>
            <w:r>
              <w:rPr>
                <w:rFonts w:ascii="仿宋_GB2312" w:hAnsi="仿宋_GB2312" w:cs="仿宋_GB2312" w:eastAsia="仿宋_GB2312"/>
              </w:rPr>
              <w:t>市级层面拟组织开展不少于52场全民阅读推广活动，包括图书捐赠、“唐诗生活节”全民阅读体验、图书“七进”、阅读分享会、亲子非遗互动、中小学生唐诗赏读等活动。其中：</w:t>
            </w:r>
          </w:p>
          <w:p>
            <w:pPr>
              <w:pStyle w:val="null3"/>
            </w:pPr>
            <w:r>
              <w:rPr>
                <w:rFonts w:ascii="仿宋_GB2312" w:hAnsi="仿宋_GB2312" w:cs="仿宋_GB2312" w:eastAsia="仿宋_GB2312"/>
              </w:rPr>
              <w:t>（一）组织开展图书捐赠活动。拟向全市19所中小学校（18个区县、开发区各1所，残疾人学校1所）赠送文学、科普、唐诗等图书，推动唐诗文化在中小学生中的弘扬传承。</w:t>
            </w:r>
          </w:p>
          <w:p>
            <w:pPr>
              <w:pStyle w:val="null3"/>
            </w:pPr>
            <w:r>
              <w:rPr>
                <w:rFonts w:ascii="仿宋_GB2312" w:hAnsi="仿宋_GB2312" w:cs="仿宋_GB2312" w:eastAsia="仿宋_GB2312"/>
              </w:rPr>
              <w:t>（二）组织开展“唐诗生活节”全民阅读体验活动。拟组织开展包括“诗情画意”互动工坊、“长安诗街”共享展、“声声入耳”诵读、“唐诗今读”文化分享等活动，活动周期不少于两周，通过可赏、可玩、可创、可听的多元形式，让唐诗走出书卷，成为可触摸、可共情的生活风景。让市民群众在互动中感受唐诗的韵律与意境之美。</w:t>
            </w:r>
          </w:p>
          <w:p>
            <w:pPr>
              <w:pStyle w:val="null3"/>
            </w:pPr>
            <w:r>
              <w:rPr>
                <w:rFonts w:ascii="仿宋_GB2312" w:hAnsi="仿宋_GB2312" w:cs="仿宋_GB2312" w:eastAsia="仿宋_GB2312"/>
              </w:rPr>
              <w:t>（三）组织开展图书“七进”活动。拟组织开展20场图书进企业、进校园、进机关、进社区、进农村、进军营、进景区等活动，图书主要包括唐诗、人文、历史、社科等类别。推动全民阅读和“唐诗之都”品牌建设工作在全社会面的开展。</w:t>
            </w:r>
          </w:p>
          <w:p>
            <w:pPr>
              <w:pStyle w:val="null3"/>
            </w:pPr>
            <w:r>
              <w:rPr>
                <w:rFonts w:ascii="仿宋_GB2312" w:hAnsi="仿宋_GB2312" w:cs="仿宋_GB2312" w:eastAsia="仿宋_GB2312"/>
              </w:rPr>
              <w:t>（四）组织开展阅读分享会活动。组织开展不少于16场阅读分享会活动，唐诗鉴赏分享会数量不少于三分之一，激发市民群众对唐诗、对阅读的浓厚兴趣。</w:t>
            </w:r>
          </w:p>
          <w:p>
            <w:pPr>
              <w:pStyle w:val="null3"/>
            </w:pPr>
            <w:r>
              <w:rPr>
                <w:rFonts w:ascii="仿宋_GB2312" w:hAnsi="仿宋_GB2312" w:cs="仿宋_GB2312" w:eastAsia="仿宋_GB2312"/>
              </w:rPr>
              <w:t>（五）组织开展亲子、非遗互动等阅读活动。组织开展“唐诗里的时光机”、“仓颉造字”亲子互动、非遗互动等活动10场。</w:t>
            </w:r>
          </w:p>
          <w:p>
            <w:pPr>
              <w:pStyle w:val="null3"/>
            </w:pPr>
            <w:r>
              <w:rPr>
                <w:rFonts w:ascii="仿宋_GB2312" w:hAnsi="仿宋_GB2312" w:cs="仿宋_GB2312" w:eastAsia="仿宋_GB2312"/>
              </w:rPr>
              <w:t>（六）组织开展中小学生唐诗赏读活动。拟邀请文化学者带领青少年共读经典唐诗书籍，通过“提问互动”“领读诵读”等方式引导孩子理解唐诗、爱上唐诗，共5场。</w:t>
            </w:r>
          </w:p>
          <w:p>
            <w:pPr>
              <w:pStyle w:val="null3"/>
            </w:pPr>
            <w:r>
              <w:rPr>
                <w:rFonts w:ascii="仿宋_GB2312" w:hAnsi="仿宋_GB2312" w:cs="仿宋_GB2312" w:eastAsia="仿宋_GB2312"/>
              </w:rPr>
              <w:t>二、组织开展“唐诗之都·阅读有你”——全民阅读推广系列活动（6月-11月）</w:t>
            </w:r>
          </w:p>
          <w:p>
            <w:pPr>
              <w:pStyle w:val="null3"/>
            </w:pPr>
            <w:r>
              <w:rPr>
                <w:rFonts w:ascii="仿宋_GB2312" w:hAnsi="仿宋_GB2312" w:cs="仿宋_GB2312" w:eastAsia="仿宋_GB2312"/>
              </w:rPr>
              <w:t>拟组织开展不少于60场全民阅读推广活动，包括红色经典阅读、“品读千年唐诗 浸润和美乡土”乡村阅读计划、“品读唐诗经典 传承中华文脉”传统文化阅读”等活动，其中：</w:t>
            </w:r>
          </w:p>
          <w:p>
            <w:pPr>
              <w:pStyle w:val="null3"/>
            </w:pPr>
            <w:r>
              <w:rPr>
                <w:rFonts w:ascii="仿宋_GB2312" w:hAnsi="仿宋_GB2312" w:cs="仿宋_GB2312" w:eastAsia="仿宋_GB2312"/>
              </w:rPr>
              <w:t>（一）组织开展红色经典阅读活动。计划在7月至8月，以“建党105周年”、“长征胜利90周年”等为主题，组织开展20场“红色经典阅读”活动。同时，每场活动配套党和国家领导人系列书籍、党史书籍、长征相关书籍等展示展销。</w:t>
            </w:r>
          </w:p>
          <w:p>
            <w:pPr>
              <w:pStyle w:val="null3"/>
            </w:pPr>
            <w:r>
              <w:rPr>
                <w:rFonts w:ascii="仿宋_GB2312" w:hAnsi="仿宋_GB2312" w:cs="仿宋_GB2312" w:eastAsia="仿宋_GB2312"/>
              </w:rPr>
              <w:t>（二）组织开展“品读千年唐诗 浸润和美乡土”乡村阅读计划活动。计划在9月至11月， 以“乡村振兴”“唐诗之都建设”为主题，进入涉农区县、开发区人流密集场地，组织开展20场“品读千年唐诗 浸润和美乡土”乡村阅读计划活动。扩大唐诗文化在农民群体的影响面。</w:t>
            </w:r>
          </w:p>
          <w:p>
            <w:pPr>
              <w:pStyle w:val="null3"/>
            </w:pPr>
            <w:r>
              <w:rPr>
                <w:rFonts w:ascii="仿宋_GB2312" w:hAnsi="仿宋_GB2312" w:cs="仿宋_GB2312" w:eastAsia="仿宋_GB2312"/>
              </w:rPr>
              <w:t>（三）组织开展“品读唐诗经典 传承中华文脉”传统文化阅读活动。计划在6月至11月，以中华优秀传统文化为主题，组织开展20场“品读唐诗经典 传承中华文脉”传统文化阅读推广活动，其中唐诗分享会数量不少于二分之一。在阅读分享中充分体会唐诗和中华优秀传统文化的独特魅力。</w:t>
            </w:r>
          </w:p>
          <w:p>
            <w:pPr>
              <w:pStyle w:val="null3"/>
            </w:pPr>
            <w:r>
              <w:rPr>
                <w:rFonts w:ascii="仿宋_GB2312" w:hAnsi="仿宋_GB2312" w:cs="仿宋_GB2312" w:eastAsia="仿宋_GB2312"/>
              </w:rPr>
              <w:t>三、组织开展“唐诗之都·阅读有你”——旧书新知大型图书贸易市集</w:t>
            </w:r>
          </w:p>
          <w:p>
            <w:pPr>
              <w:pStyle w:val="null3"/>
            </w:pPr>
            <w:r>
              <w:rPr>
                <w:rFonts w:ascii="仿宋_GB2312" w:hAnsi="仿宋_GB2312" w:cs="仿宋_GB2312" w:eastAsia="仿宋_GB2312"/>
              </w:rPr>
              <w:t>拟于5月至10月，组织2场大型图书贸易市集，展示展销唐诗、旧书、人文、社科、文学、党政等类别图书。将唐诗文化与旧书古籍相结合，通过阅读旧书、古籍中的唐诗，发现新的感悟、新的认知。</w:t>
            </w:r>
          </w:p>
          <w:p>
            <w:pPr>
              <w:pStyle w:val="null3"/>
            </w:pPr>
            <w:r>
              <w:rPr>
                <w:rFonts w:ascii="仿宋_GB2312" w:hAnsi="仿宋_GB2312" w:cs="仿宋_GB2312" w:eastAsia="仿宋_GB2312"/>
              </w:rPr>
              <w:t>（一）图书以旧换新惠民券。活动现场设置以旧换新专区，可用旧书兑换惠民券在市集消费。</w:t>
            </w:r>
          </w:p>
          <w:p>
            <w:pPr>
              <w:pStyle w:val="null3"/>
            </w:pPr>
            <w:r>
              <w:rPr>
                <w:rFonts w:ascii="仿宋_GB2312" w:hAnsi="仿宋_GB2312" w:cs="仿宋_GB2312" w:eastAsia="仿宋_GB2312"/>
              </w:rPr>
              <w:t>（二）场地租赁。每场租赁不少于3000㎡场地，保障活动正常开展。</w:t>
            </w:r>
          </w:p>
          <w:p>
            <w:pPr>
              <w:pStyle w:val="null3"/>
            </w:pPr>
            <w:r>
              <w:rPr>
                <w:rFonts w:ascii="仿宋_GB2312" w:hAnsi="仿宋_GB2312" w:cs="仿宋_GB2312" w:eastAsia="仿宋_GB2312"/>
              </w:rPr>
              <w:t>（三）宣传推广。用于“唐诗之都·旧书新知”宣传短视频制作及图书市集视频拍摄制作、发布推广。</w:t>
            </w:r>
          </w:p>
          <w:p>
            <w:pPr>
              <w:pStyle w:val="null3"/>
            </w:pPr>
            <w:r>
              <w:rPr>
                <w:rFonts w:ascii="仿宋_GB2312" w:hAnsi="仿宋_GB2312" w:cs="仿宋_GB2312" w:eastAsia="仿宋_GB2312"/>
              </w:rPr>
              <w:t>（四）配套阅读活动。每次图书贸易市集期间，开展不少于5场唐诗阅读分享、古籍修复体验、旧书收藏分享等各类配套阅读活动。</w:t>
            </w:r>
          </w:p>
          <w:p>
            <w:pPr>
              <w:pStyle w:val="null3"/>
            </w:pPr>
            <w:r>
              <w:rPr>
                <w:rFonts w:ascii="仿宋_GB2312" w:hAnsi="仿宋_GB2312" w:cs="仿宋_GB2312" w:eastAsia="仿宋_GB2312"/>
              </w:rPr>
              <w:t>（五）活动组织。计划用于现场搭建、物料制作、活动执行等。</w:t>
            </w:r>
          </w:p>
          <w:p>
            <w:pPr>
              <w:pStyle w:val="null3"/>
            </w:pPr>
            <w:r>
              <w:rPr>
                <w:rFonts w:ascii="仿宋_GB2312" w:hAnsi="仿宋_GB2312" w:cs="仿宋_GB2312" w:eastAsia="仿宋_GB2312"/>
              </w:rPr>
              <w:t>四、组织开展“唐诗之都·阅读有你”——旧书新知进区县、进高校、进社区等阅读推广活动</w:t>
            </w:r>
          </w:p>
          <w:p>
            <w:pPr>
              <w:pStyle w:val="null3"/>
            </w:pPr>
            <w:r>
              <w:rPr>
                <w:rFonts w:ascii="仿宋_GB2312" w:hAnsi="仿宋_GB2312" w:cs="仿宋_GB2312" w:eastAsia="仿宋_GB2312"/>
              </w:rPr>
              <w:t>从5月起，除2场图书大集，组织开展6场进区县、进高校、进社区等活动，每场活动不少于2天，展示展销唐诗、地方志、人文、社科、文学、党政等类别图书。</w:t>
            </w:r>
          </w:p>
          <w:p>
            <w:pPr>
              <w:pStyle w:val="null3"/>
            </w:pPr>
            <w:r>
              <w:rPr>
                <w:rFonts w:ascii="仿宋_GB2312" w:hAnsi="仿宋_GB2312" w:cs="仿宋_GB2312" w:eastAsia="仿宋_GB2312"/>
              </w:rPr>
              <w:t>综上，全年拟累计组织开展120场全民阅读推广活动和2场捐书活动，重点围绕“唐诗之都”建设主线展开，以全民阅读推广为抓手，将千年诗韵融入现代生活，让读唐诗、爱唐诗、传唐诗成为全市风尚。</w:t>
            </w:r>
          </w:p>
          <w:p>
            <w:pPr>
              <w:pStyle w:val="null3"/>
            </w:pPr>
            <w:r>
              <w:rPr>
                <w:rFonts w:ascii="仿宋_GB2312" w:hAnsi="仿宋_GB2312" w:cs="仿宋_GB2312" w:eastAsia="仿宋_GB2312"/>
              </w:rPr>
              <w:t>五、预算支出</w:t>
            </w:r>
          </w:p>
          <w:p>
            <w:pPr>
              <w:pStyle w:val="null3"/>
            </w:pPr>
            <w:r>
              <w:rPr>
                <w:rFonts w:ascii="仿宋_GB2312" w:hAnsi="仿宋_GB2312" w:cs="仿宋_GB2312" w:eastAsia="仿宋_GB2312"/>
              </w:rPr>
              <w:t>以上活动预算144万元，拟从2026年全民阅读、“旧书新知·书香西安”推广专项经费中列支。</w:t>
            </w:r>
          </w:p>
          <w:p>
            <w:pPr>
              <w:pStyle w:val="null3"/>
            </w:pPr>
            <w:r>
              <w:rPr>
                <w:rFonts w:ascii="仿宋_GB2312" w:hAnsi="仿宋_GB2312" w:cs="仿宋_GB2312" w:eastAsia="仿宋_GB2312"/>
              </w:rPr>
              <w:t>六、服务要求</w:t>
            </w:r>
          </w:p>
          <w:p>
            <w:pPr>
              <w:pStyle w:val="null3"/>
            </w:pPr>
            <w:r>
              <w:rPr>
                <w:rFonts w:ascii="仿宋_GB2312" w:hAnsi="仿宋_GB2312" w:cs="仿宋_GB2312" w:eastAsia="仿宋_GB2312"/>
              </w:rPr>
              <w:t>1.做好项目的整体策划与组织；</w:t>
            </w:r>
          </w:p>
          <w:p>
            <w:pPr>
              <w:pStyle w:val="null3"/>
            </w:pPr>
            <w:r>
              <w:rPr>
                <w:rFonts w:ascii="仿宋_GB2312" w:hAnsi="仿宋_GB2312" w:cs="仿宋_GB2312" w:eastAsia="仿宋_GB2312"/>
              </w:rPr>
              <w:t>2.做好活动场地的设计与布置；</w:t>
            </w:r>
          </w:p>
          <w:p>
            <w:pPr>
              <w:pStyle w:val="null3"/>
            </w:pPr>
            <w:r>
              <w:rPr>
                <w:rFonts w:ascii="仿宋_GB2312" w:hAnsi="仿宋_GB2312" w:cs="仿宋_GB2312" w:eastAsia="仿宋_GB2312"/>
              </w:rPr>
              <w:t>3.针对本项目制定推广方案及相关推广活动，包括但不限于：宣传计划、短视频制作、宣传方式、推广发布媒介、宣传物料（海报、展板、手册等）。</w:t>
            </w:r>
          </w:p>
          <w:p>
            <w:pPr>
              <w:pStyle w:val="null3"/>
            </w:pPr>
            <w:r>
              <w:rPr>
                <w:rFonts w:ascii="仿宋_GB2312" w:hAnsi="仿宋_GB2312" w:cs="仿宋_GB2312" w:eastAsia="仿宋_GB2312"/>
              </w:rPr>
              <w:t>4.做好现场活动的应急处置方案、消防预案、安保工作方案；</w:t>
            </w:r>
          </w:p>
          <w:p>
            <w:pPr>
              <w:pStyle w:val="null3"/>
            </w:pPr>
            <w:r>
              <w:rPr>
                <w:rFonts w:ascii="仿宋_GB2312" w:hAnsi="仿宋_GB2312" w:cs="仿宋_GB2312" w:eastAsia="仿宋_GB2312"/>
              </w:rPr>
              <w:t>5.现场配置足够人数的专业服务团队；</w:t>
            </w:r>
          </w:p>
          <w:p>
            <w:pPr>
              <w:pStyle w:val="null3"/>
            </w:pPr>
            <w:r>
              <w:rPr>
                <w:rFonts w:ascii="仿宋_GB2312" w:hAnsi="仿宋_GB2312" w:cs="仿宋_GB2312" w:eastAsia="仿宋_GB2312"/>
              </w:rPr>
              <w:t>6.根据活动主题配置专业设备、推介用品等。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根据项目情况配备</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针对本项目拟投入的设备完整、齐全，配备合理，完全满足项目需求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2026年5月-11月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西安市区域内采购人指定地点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所有活动组织结束后，委托第三方组织验收会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合同签订后，乙方开具等额增值税发票，甲方验票无误后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活动开展一个月后，乙方开具等额增值税发票，甲方验票无误后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项目结束后，供应商出具结项报告，验收完成后，乙方开具等额增值税发票，甲方验票无误后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2.未按合同要求提供服务或服务质量不能满足技术要求，采购人有权终止合同，并对供方违约行为进行追究，同时按《中华人民共和国政府采购法》的有关规定进行处罚。3.若未能在服务期内完成合同规定的义务，由此对采购方造成的延误和一切损失，由中标人承担和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人在领取成交通知书时提供一正两副纸质竞争性磋商响应文件。装订：纸质竞争性磋商响应文件采用书籍（胶装）方式装订成册，与电子版文件一致的签字、盖章的完整版本。2、投标人应于招标人每次付款前向招标人开具等额发票，因投标人迟延开票，招标人有权拒不付款且不承担任何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供应商需在项目电子化交易系统中按要求上传相应证明文件并进行电子签章。本项审查内容与特殊资格要求的“财务状况报告”审查为同一项内容。</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供应商资格要求.docx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的2024年度或2025年度完整有效的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社会保障资金缴纳证明：提供截止至开标时间前六个月内任意一个月的社保缴纳凭据或社保机构开具的社会保险参保缴纳情况证明；（依法不需要缴纳社会保障资金的供应商应提供相关证明）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投标提供法定代表人资格证明书（附法定代表人身份证复印件）；采购文件凡是法定代表人之处，非法人单位的负责人均参照执行（式样见投标文件格式）；</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此项在投标截止日当天在“信用中国”网站、中国执行信息公开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此项在投标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供应商资格要求.docx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 3.根据《关于推动解决政府采购异常低价问题的通知》（财库〔2026〕2号）规定，出现下列情形之一的，评审委员会应当启动异常低价投标（响应）审查程序： 3.1投标（响应）报价低于全部通过符合性审查供应商投标（响应）报价平均值50%的，即投标（响应）报价&lt;全部通过符合性审查供应商投标（响应）报价平均值×50%； 3.2投标（响应）报价低于通过符合性审查的次低报价供应商投标（响应）报价50%的，即投标（响应）报价&lt;通过符合性审查的次低报价供应商投标（响应）报价×50%； 3.3投标（响应）报价低于采购项目最高限价45%的，即投标（响应）报价&lt;采购项目最高限价×45%； 3.4评审委员会基于专业判断，认为供应商报价过低，有可能影响产品质量或者不能诚信履约的其他情形。 相关供应商在评审现场合理的时间内对投标（响应）价格作出解释，提供项目具体成本测算等与报价合理性相关的书面说明及必要的证明材料，包括但不限于原材料成本、人工成本、制造费用等；其中，属于3.3项情形，供应商已随投标（响应）文件一并提交相关书面说明及必要的证明材料的，在评审现场可不再重复提交。投标（响应）供应商不能提供书面说明、证明材料，或者提供的书面说明、证明材料不能证明其报价合理性的，评审委员会应当将其作为无效投标（响应）处理。 相关法律法规对供应商报价有规定的，从其规定。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编制格式</w:t>
            </w:r>
          </w:p>
        </w:tc>
        <w:tc>
          <w:tcPr>
            <w:tcW w:type="dxa" w:w="3322"/>
          </w:tcPr>
          <w:p>
            <w:pPr>
              <w:pStyle w:val="null3"/>
            </w:pPr>
            <w:r>
              <w:rPr>
                <w:rFonts w:ascii="仿宋_GB2312" w:hAnsi="仿宋_GB2312" w:cs="仿宋_GB2312" w:eastAsia="仿宋_GB2312"/>
              </w:rPr>
              <w:t>除明确允许供应商可以自行编写的外，磋商响应文件是否按照磋商文件给定的格式编制</w:t>
            </w:r>
          </w:p>
        </w:tc>
        <w:tc>
          <w:tcPr>
            <w:tcW w:type="dxa" w:w="1661"/>
          </w:tcPr>
          <w:p>
            <w:pPr>
              <w:pStyle w:val="null3"/>
            </w:pPr>
            <w:r>
              <w:rPr>
                <w:rFonts w:ascii="仿宋_GB2312" w:hAnsi="仿宋_GB2312" w:cs="仿宋_GB2312" w:eastAsia="仿宋_GB2312"/>
              </w:rPr>
              <w:t>业绩.docx 中小企业声明函 授权委托书.docx 项目团队配置.docx 承诺书.docx 质量保证措施.docx 需求分析.docx 响应文件封面 投入的材料设备.docx 分项报价表.docx 供应商资格要求.docx 残疾人福利性单位声明函 拒绝政府采购领域商业贿赂承诺书.docx 项目实施进度计划.docx 供应商参与政府采购活动的承诺函.docx 标的清单 整体服务方案.docx 安全保证措施.docx 供应商认为有必要说明的事宜.docx 响应函 监狱企业的证明文件 技术、服务、商务及其他要求响应偏离表.docx 场地设计及布置方案.docx 推广方案及宣传推广活动.docx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磋商响应文件是否按照磋商文件的要求盖章签字</w:t>
            </w:r>
          </w:p>
        </w:tc>
        <w:tc>
          <w:tcPr>
            <w:tcW w:type="dxa" w:w="1661"/>
          </w:tcPr>
          <w:p>
            <w:pPr>
              <w:pStyle w:val="null3"/>
            </w:pPr>
            <w:r>
              <w:rPr>
                <w:rFonts w:ascii="仿宋_GB2312" w:hAnsi="仿宋_GB2312" w:cs="仿宋_GB2312" w:eastAsia="仿宋_GB2312"/>
              </w:rPr>
              <w:t>业绩.docx 中小企业声明函 授权委托书.docx 项目团队配置.docx 承诺书.docx 质量保证措施.docx 需求分析.docx 响应文件封面 投入的材料设备.docx 分项报价表.docx 供应商资格要求.docx 残疾人福利性单位声明函 拒绝政府采购领域商业贿赂承诺书.docx 项目实施进度计划.docx 供应商参与政府采购活动的承诺函.docx 标的清单 整体服务方案.docx 安全保证措施.docx 供应商认为有必要说明的事宜.docx 响应函 监狱企业的证明文件 技术、服务、商务及其他要求响应偏离表.docx 场地设计及布置方案.docx 推广方案及宣传推广活动.docx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磋商报价未超过采购预算</w:t>
            </w:r>
          </w:p>
        </w:tc>
        <w:tc>
          <w:tcPr>
            <w:tcW w:type="dxa" w:w="3322"/>
          </w:tcPr>
          <w:p>
            <w:pPr>
              <w:pStyle w:val="null3"/>
            </w:pPr>
            <w:r>
              <w:rPr>
                <w:rFonts w:ascii="仿宋_GB2312" w:hAnsi="仿宋_GB2312" w:cs="仿宋_GB2312" w:eastAsia="仿宋_GB2312"/>
              </w:rPr>
              <w:t>磋商报价是否超过采购预算</w:t>
            </w:r>
          </w:p>
        </w:tc>
        <w:tc>
          <w:tcPr>
            <w:tcW w:type="dxa" w:w="1661"/>
          </w:tcPr>
          <w:p>
            <w:pPr>
              <w:pStyle w:val="null3"/>
            </w:pPr>
            <w:r>
              <w:rPr>
                <w:rFonts w:ascii="仿宋_GB2312" w:hAnsi="仿宋_GB2312" w:cs="仿宋_GB2312" w:eastAsia="仿宋_GB2312"/>
              </w:rPr>
              <w:t>分项报价表.docx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对磋商文件商务要求是否作出明确且实质性响应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对磋商文件技术要求是否作出明确响应，对不得偏离的要求是否作出实质性响应</w:t>
            </w:r>
          </w:p>
        </w:tc>
        <w:tc>
          <w:tcPr>
            <w:tcW w:type="dxa" w:w="1661"/>
          </w:tcPr>
          <w:p>
            <w:pPr>
              <w:pStyle w:val="null3"/>
            </w:pPr>
            <w:r>
              <w:rPr>
                <w:rFonts w:ascii="仿宋_GB2312" w:hAnsi="仿宋_GB2312" w:cs="仿宋_GB2312" w:eastAsia="仿宋_GB2312"/>
              </w:rPr>
              <w:t>技术、服务、商务及其他要求响应偏离表.docx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磋商响应文件未含有采购人不能接受的附加条件</w:t>
            </w:r>
          </w:p>
        </w:tc>
        <w:tc>
          <w:tcPr>
            <w:tcW w:type="dxa" w:w="3322"/>
          </w:tcPr>
          <w:p>
            <w:pPr>
              <w:pStyle w:val="null3"/>
            </w:pPr>
            <w:r>
              <w:rPr>
                <w:rFonts w:ascii="仿宋_GB2312" w:hAnsi="仿宋_GB2312" w:cs="仿宋_GB2312" w:eastAsia="仿宋_GB2312"/>
              </w:rPr>
              <w:t>磋商响应文件未含有采购人不能接受的附加条件</w:t>
            </w:r>
          </w:p>
        </w:tc>
        <w:tc>
          <w:tcPr>
            <w:tcW w:type="dxa" w:w="1661"/>
          </w:tcPr>
          <w:p>
            <w:pPr>
              <w:pStyle w:val="null3"/>
            </w:pPr>
            <w:r>
              <w:rPr>
                <w:rFonts w:ascii="仿宋_GB2312" w:hAnsi="仿宋_GB2312" w:cs="仿宋_GB2312" w:eastAsia="仿宋_GB2312"/>
              </w:rPr>
              <w:t>业绩.docx 中小企业声明函 授权委托书.docx 项目团队配置.docx 承诺书.docx 质量保证措施.docx 需求分析.docx 响应文件封面 投入的材料设备.docx 分项报价表.docx 供应商资格要求.docx 残疾人福利性单位声明函 拒绝政府采购领域商业贿赂承诺书.docx 项目实施进度计划.docx 供应商参与政府采购活动的承诺函.docx 标的清单 整体服务方案.docx 安全保证措施.docx 供应商认为有必要说明的事宜.docx 响应函 监狱企业的证明文件 技术、服务、商务及其他要求响应偏离表.docx 场地设计及布置方案.docx 推广方案及宣传推广活动.docx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法律、法规和磋商文件规定的其他无效响应情形</w:t>
            </w:r>
          </w:p>
        </w:tc>
        <w:tc>
          <w:tcPr>
            <w:tcW w:type="dxa" w:w="3322"/>
          </w:tcPr>
          <w:p>
            <w:pPr>
              <w:pStyle w:val="null3"/>
            </w:pPr>
            <w:r>
              <w:rPr>
                <w:rFonts w:ascii="仿宋_GB2312" w:hAnsi="仿宋_GB2312" w:cs="仿宋_GB2312" w:eastAsia="仿宋_GB2312"/>
              </w:rPr>
              <w:t>未含法律、法规和磋商文件规定的其他无效响应情形</w:t>
            </w:r>
          </w:p>
        </w:tc>
        <w:tc>
          <w:tcPr>
            <w:tcW w:type="dxa" w:w="1661"/>
          </w:tcPr>
          <w:p>
            <w:pPr>
              <w:pStyle w:val="null3"/>
            </w:pPr>
            <w:r>
              <w:rPr>
                <w:rFonts w:ascii="仿宋_GB2312" w:hAnsi="仿宋_GB2312" w:cs="仿宋_GB2312" w:eastAsia="仿宋_GB2312"/>
              </w:rPr>
              <w:t>业绩.docx 中小企业声明函 授权委托书.docx 项目团队配置.docx 承诺书.docx 质量保证措施.docx 需求分析.docx 响应文件封面 投入的材料设备.docx 分项报价表.docx 供应商资格要求.docx 残疾人福利性单位声明函 拒绝政府采购领域商业贿赂承诺书.docx 项目实施进度计划.docx 供应商参与政府采购活动的承诺函.docx 标的清单 整体服务方案.docx 安全保证措施.docx 供应商认为有必要说明的事宜.docx 响应函 监狱企业的证明文件 技术、服务、商务及其他要求响应偏离表.docx 场地设计及布置方案.docx 推广方案及宣传推广活动.docx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需求分析</w:t>
            </w:r>
          </w:p>
        </w:tc>
        <w:tc>
          <w:tcPr>
            <w:tcW w:type="dxa" w:w="2492"/>
          </w:tcPr>
          <w:p>
            <w:pPr>
              <w:pStyle w:val="null3"/>
            </w:pPr>
            <w:r>
              <w:rPr>
                <w:rFonts w:ascii="仿宋_GB2312" w:hAnsi="仿宋_GB2312" w:cs="仿宋_GB2312" w:eastAsia="仿宋_GB2312"/>
              </w:rPr>
              <w:t>供应商针对本项目提供需求分析，内容包括但不限于①对本项目工作内容的理解；②项目背景分析; ③项目重难点分析等。以上内容专门针对本项目且阐述明晰、全面、合理得9分，每缺一项内容扣3分 , 若上述内容存在瑕疵，每出现一处瑕疵扣1分，扣完为止。“瑕疵”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需求分析.docx</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供应商针对本项目提供整体服务方案，内容至少包括①整体策划内容及安排；②组织协调方案；③整体实施流程；④各环节安排部署；⑤活动嘉宾邀请方案等 。 以上内容专门针对本项目且阐述明晰、全面、合理得20分，每缺一项内容扣4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场地设计及布置方案</w:t>
            </w:r>
          </w:p>
        </w:tc>
        <w:tc>
          <w:tcPr>
            <w:tcW w:type="dxa" w:w="2492"/>
          </w:tcPr>
          <w:p>
            <w:pPr>
              <w:pStyle w:val="null3"/>
            </w:pPr>
            <w:r>
              <w:rPr>
                <w:rFonts w:ascii="仿宋_GB2312" w:hAnsi="仿宋_GB2312" w:cs="仿宋_GB2312" w:eastAsia="仿宋_GB2312"/>
              </w:rPr>
              <w:t>供应商需针对场地设计及布置方案进行阐述，方案包括但不限于：①场地租赁选址应合理②场地整体布局、视觉设计应结合活动主题③场地配套设施及服务应完全满足项目实施等进行综合评分。 以上内容专门针对本项目且阐述明晰、全面、合理得9分，每缺一项内容扣3分 , 若上述内容存在瑕疵，每出现一处瑕疵扣1分，扣完为止。“瑕疵”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场地设计及布置方案.docx</w:t>
            </w:r>
          </w:p>
        </w:tc>
      </w:tr>
      <w:tr>
        <w:tc>
          <w:tcPr>
            <w:tcW w:type="dxa" w:w="831"/>
            <w:vMerge/>
          </w:tcPr>
          <w:p/>
        </w:tc>
        <w:tc>
          <w:tcPr>
            <w:tcW w:type="dxa" w:w="1661"/>
          </w:tcPr>
          <w:p>
            <w:pPr>
              <w:pStyle w:val="null3"/>
            </w:pPr>
            <w:r>
              <w:rPr>
                <w:rFonts w:ascii="仿宋_GB2312" w:hAnsi="仿宋_GB2312" w:cs="仿宋_GB2312" w:eastAsia="仿宋_GB2312"/>
              </w:rPr>
              <w:t>推广方案及宣传推广活动</w:t>
            </w:r>
          </w:p>
        </w:tc>
        <w:tc>
          <w:tcPr>
            <w:tcW w:type="dxa" w:w="2492"/>
          </w:tcPr>
          <w:p>
            <w:pPr>
              <w:pStyle w:val="null3"/>
            </w:pPr>
            <w:r>
              <w:rPr>
                <w:rFonts w:ascii="仿宋_GB2312" w:hAnsi="仿宋_GB2312" w:cs="仿宋_GB2312" w:eastAsia="仿宋_GB2312"/>
              </w:rPr>
              <w:t>供应商针对本项目制定推广方案及相关推广活动，包括但不限于：①宣传计划、②短视频制作、③宣传方式、④推广发布媒介、⑤宣传物料等进行综合评分。以上内容专门针对本项目且阐述明晰、全面、合理得10分，每缺一项内容扣2分 , 若上述内容存在瑕疵，每出现一处瑕疵扣1分，扣完为止。“瑕疵” 指内容明显错误，或内容不完整或 缺少关键点，或不适用本项目特性 、套用其他项目内容或内容不能满足本项目实际需求等情形。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推广方案及宣传推广活动.docx</w:t>
            </w:r>
          </w:p>
        </w:tc>
      </w:tr>
      <w:tr>
        <w:tc>
          <w:tcPr>
            <w:tcW w:type="dxa" w:w="831"/>
            <w:vMerge/>
          </w:tcPr>
          <w:p/>
        </w:tc>
        <w:tc>
          <w:tcPr>
            <w:tcW w:type="dxa" w:w="1661"/>
          </w:tcPr>
          <w:p>
            <w:pPr>
              <w:pStyle w:val="null3"/>
            </w:pPr>
            <w:r>
              <w:rPr>
                <w:rFonts w:ascii="仿宋_GB2312" w:hAnsi="仿宋_GB2312" w:cs="仿宋_GB2312" w:eastAsia="仿宋_GB2312"/>
              </w:rPr>
              <w:t>项目实施进度计划</w:t>
            </w:r>
          </w:p>
        </w:tc>
        <w:tc>
          <w:tcPr>
            <w:tcW w:type="dxa" w:w="2492"/>
          </w:tcPr>
          <w:p>
            <w:pPr>
              <w:pStyle w:val="null3"/>
            </w:pPr>
            <w:r>
              <w:rPr>
                <w:rFonts w:ascii="仿宋_GB2312" w:hAnsi="仿宋_GB2312" w:cs="仿宋_GB2312" w:eastAsia="仿宋_GB2312"/>
              </w:rPr>
              <w:t>供应商针对本项目提供实施进度计划，内容包括但不限于①项目服务期间的需求确认；②方案制定；③活动周期；④控制管理、⑤协调管理等。 以上内容专门针对本项目且阐述明晰、全面、合理得10分，每缺一项内容扣2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项目实施进度计划.docx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证措施，内容包括但不限于①项目服务期限内质量控制管理；②人员到位情况把控措施；③服务承诺等。以上内容专门针对本项目且阐述明晰、全面、合理得9分，每缺一项内容扣3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质量保证措施.docx</w:t>
            </w:r>
          </w:p>
        </w:tc>
      </w:tr>
      <w:tr>
        <w:tc>
          <w:tcPr>
            <w:tcW w:type="dxa" w:w="831"/>
            <w:vMerge/>
          </w:tcPr>
          <w:p/>
        </w:tc>
        <w:tc>
          <w:tcPr>
            <w:tcW w:type="dxa" w:w="1661"/>
          </w:tcPr>
          <w:p>
            <w:pPr>
              <w:pStyle w:val="null3"/>
            </w:pPr>
            <w:r>
              <w:rPr>
                <w:rFonts w:ascii="仿宋_GB2312" w:hAnsi="仿宋_GB2312" w:cs="仿宋_GB2312" w:eastAsia="仿宋_GB2312"/>
              </w:rPr>
              <w:t>安全保证措施</w:t>
            </w:r>
          </w:p>
        </w:tc>
        <w:tc>
          <w:tcPr>
            <w:tcW w:type="dxa" w:w="2492"/>
          </w:tcPr>
          <w:p>
            <w:pPr>
              <w:pStyle w:val="null3"/>
            </w:pPr>
            <w:r>
              <w:rPr>
                <w:rFonts w:ascii="仿宋_GB2312" w:hAnsi="仿宋_GB2312" w:cs="仿宋_GB2312" w:eastAsia="仿宋_GB2312"/>
              </w:rPr>
              <w:t>供应商针对本项目提供安全保证措施，内容包括但不限于①应急处置方案；②消防预案；③安保工作方案等。以上内容专门针对本项目且阐述明晰、全面、合理得9分，每缺一项内容扣3分， 若上述内容存在瑕疵，每出现一处 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安全保证措施.docx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项目团队配置内容至少包括①团队组织人员配置；②团队人员管理制度；③各专业岗位分工；④配置人员资格、职称及工作经验等。 以上内容专门针对本项目且阐述明晰、全面、合理得8分，每缺一项内容扣2分，若上述内容存在瑕疵，每出现一处瑕疵扣1分，扣完为止。“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项目团队配置.docx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以合同形式提供供应商2023年1月至今类似项目业绩，每份计1分，计满3分为止（提供完整的合同并以合同签署时间为准）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投入的材料设备</w:t>
            </w:r>
          </w:p>
        </w:tc>
        <w:tc>
          <w:tcPr>
            <w:tcW w:type="dxa" w:w="2492"/>
          </w:tcPr>
          <w:p>
            <w:pPr>
              <w:pStyle w:val="null3"/>
            </w:pPr>
            <w:r>
              <w:rPr>
                <w:rFonts w:ascii="仿宋_GB2312" w:hAnsi="仿宋_GB2312" w:cs="仿宋_GB2312" w:eastAsia="仿宋_GB2312"/>
              </w:rPr>
              <w:t>根据供应商拟投入的关键设施设备、推介用品、专业设备等的配备情况。 1.设施设备配备齐全、合理、专业能完全满足需求的计3分; 2.设施设备配备有缺陷、基本满足需求的计2分; 3.投入设施设备不能满足项目需求的计1分；4.未提供本项不计分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投入的材料设备.docx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供应商的价格分统一按照下列公式计算：投标报价得分=（评标基准价/投标报价）×价格权值×100（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中小企业声明函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详见附件：授权委托书.docx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详见附件：供应商资格要求.docx</w:t>
      </w:r>
    </w:p>
    <w:p>
      <w:pPr>
        <w:pStyle w:val="null3"/>
        <w:ind w:firstLine="960"/>
      </w:pPr>
      <w:r>
        <w:rPr>
          <w:rFonts w:ascii="仿宋_GB2312" w:hAnsi="仿宋_GB2312" w:cs="仿宋_GB2312" w:eastAsia="仿宋_GB2312"/>
        </w:rPr>
        <w:t>详见附件：技术、服务、商务及其他要求响应偏离表.docx</w:t>
      </w:r>
    </w:p>
    <w:p>
      <w:pPr>
        <w:pStyle w:val="null3"/>
        <w:ind w:firstLine="960"/>
      </w:pPr>
      <w:r>
        <w:rPr>
          <w:rFonts w:ascii="仿宋_GB2312" w:hAnsi="仿宋_GB2312" w:cs="仿宋_GB2312" w:eastAsia="仿宋_GB2312"/>
        </w:rPr>
        <w:t>详见附件：需求分析.docx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详见附件：场地设计及布置方案.docx</w:t>
      </w:r>
    </w:p>
    <w:p>
      <w:pPr>
        <w:pStyle w:val="null3"/>
        <w:ind w:firstLine="960"/>
      </w:pPr>
      <w:r>
        <w:rPr>
          <w:rFonts w:ascii="仿宋_GB2312" w:hAnsi="仿宋_GB2312" w:cs="仿宋_GB2312" w:eastAsia="仿宋_GB2312"/>
        </w:rPr>
        <w:t>详见附件：推广方案及宣传推广活动.docx</w:t>
      </w:r>
    </w:p>
    <w:p>
      <w:pPr>
        <w:pStyle w:val="null3"/>
        <w:ind w:firstLine="960"/>
      </w:pPr>
      <w:r>
        <w:rPr>
          <w:rFonts w:ascii="仿宋_GB2312" w:hAnsi="仿宋_GB2312" w:cs="仿宋_GB2312" w:eastAsia="仿宋_GB2312"/>
        </w:rPr>
        <w:t>详见附件：项目实施进度计划.docx</w:t>
      </w:r>
    </w:p>
    <w:p>
      <w:pPr>
        <w:pStyle w:val="null3"/>
        <w:ind w:firstLine="960"/>
      </w:pPr>
      <w:r>
        <w:rPr>
          <w:rFonts w:ascii="仿宋_GB2312" w:hAnsi="仿宋_GB2312" w:cs="仿宋_GB2312" w:eastAsia="仿宋_GB2312"/>
        </w:rPr>
        <w:t>详见附件：质量保证措施.docx</w:t>
      </w:r>
    </w:p>
    <w:p>
      <w:pPr>
        <w:pStyle w:val="null3"/>
        <w:ind w:firstLine="960"/>
      </w:pPr>
      <w:r>
        <w:rPr>
          <w:rFonts w:ascii="仿宋_GB2312" w:hAnsi="仿宋_GB2312" w:cs="仿宋_GB2312" w:eastAsia="仿宋_GB2312"/>
        </w:rPr>
        <w:t>详见附件：安全保证措施.docx</w:t>
      </w:r>
    </w:p>
    <w:p>
      <w:pPr>
        <w:pStyle w:val="null3"/>
        <w:ind w:firstLine="960"/>
      </w:pPr>
      <w:r>
        <w:rPr>
          <w:rFonts w:ascii="仿宋_GB2312" w:hAnsi="仿宋_GB2312" w:cs="仿宋_GB2312" w:eastAsia="仿宋_GB2312"/>
        </w:rPr>
        <w:t>详见附件：项目团队配置.docx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详见附件：投入的材料设备.docx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详见附件：供应商认为有必要说明的事宜.docx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