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1ABDE">
      <w:pPr>
        <w:spacing w:before="120" w:line="360" w:lineRule="auto"/>
        <w:jc w:val="center"/>
        <w:rPr>
          <w:rFonts w:hint="eastAsia" w:ascii="宋体" w:hAnsi="宋体" w:eastAsia="宋体" w:cs="宋体"/>
          <w:b/>
          <w:bCs/>
          <w:color w:val="auto"/>
          <w:sz w:val="24"/>
          <w:szCs w:val="24"/>
          <w:highlight w:val="none"/>
        </w:rPr>
      </w:pPr>
    </w:p>
    <w:p w14:paraId="5EAD15AE">
      <w:pPr>
        <w:spacing w:before="120" w:line="360" w:lineRule="auto"/>
        <w:jc w:val="center"/>
        <w:rPr>
          <w:rFonts w:hint="eastAsia" w:ascii="宋体" w:hAnsi="宋体" w:eastAsia="宋体" w:cs="宋体"/>
          <w:b/>
          <w:bCs/>
          <w:color w:val="auto"/>
          <w:sz w:val="24"/>
          <w:szCs w:val="24"/>
          <w:highlight w:val="none"/>
        </w:rPr>
      </w:pPr>
    </w:p>
    <w:p w14:paraId="69A478A6">
      <w:pPr>
        <w:spacing w:before="120" w:line="360" w:lineRule="auto"/>
        <w:jc w:val="center"/>
        <w:rPr>
          <w:rFonts w:hint="eastAsia" w:ascii="宋体" w:hAnsi="宋体" w:eastAsia="宋体" w:cs="宋体"/>
          <w:b/>
          <w:bCs/>
          <w:color w:val="auto"/>
          <w:sz w:val="24"/>
          <w:szCs w:val="24"/>
          <w:highlight w:val="none"/>
        </w:rPr>
      </w:pPr>
    </w:p>
    <w:p w14:paraId="6A4968F5">
      <w:pPr>
        <w:spacing w:before="120" w:line="360" w:lineRule="auto"/>
        <w:jc w:val="center"/>
        <w:rPr>
          <w:rFonts w:hint="eastAsia" w:ascii="宋体" w:hAnsi="宋体" w:eastAsia="宋体" w:cs="宋体"/>
          <w:b/>
          <w:bCs/>
          <w:color w:val="auto"/>
          <w:sz w:val="24"/>
          <w:szCs w:val="24"/>
          <w:highlight w:val="none"/>
        </w:rPr>
      </w:pPr>
    </w:p>
    <w:p w14:paraId="0D52B00B">
      <w:pPr>
        <w:spacing w:before="120" w:line="360" w:lineRule="auto"/>
        <w:jc w:val="center"/>
        <w:rPr>
          <w:rFonts w:hint="eastAsia" w:ascii="宋体" w:hAnsi="宋体" w:eastAsia="宋体" w:cs="宋体"/>
          <w:b/>
          <w:bCs/>
          <w:color w:val="auto"/>
          <w:sz w:val="24"/>
          <w:szCs w:val="24"/>
          <w:highlight w:val="none"/>
        </w:rPr>
      </w:pPr>
    </w:p>
    <w:p w14:paraId="5E547251">
      <w:pPr>
        <w:spacing w:before="120" w:line="360" w:lineRule="auto"/>
        <w:jc w:val="center"/>
        <w:rPr>
          <w:rFonts w:hint="eastAsia" w:ascii="宋体" w:hAnsi="宋体" w:eastAsia="宋体" w:cs="宋体"/>
          <w:b/>
          <w:bCs/>
          <w:color w:val="auto"/>
          <w:sz w:val="24"/>
          <w:szCs w:val="24"/>
          <w:highlight w:val="none"/>
        </w:rPr>
      </w:pPr>
    </w:p>
    <w:p w14:paraId="2B28C13B">
      <w:pPr>
        <w:spacing w:before="120" w:line="360" w:lineRule="auto"/>
        <w:jc w:val="center"/>
        <w:outlineLvl w:val="1"/>
        <w:rPr>
          <w:rFonts w:hint="eastAsia" w:ascii="宋体" w:hAnsi="宋体" w:eastAsia="宋体" w:cs="宋体"/>
          <w:b/>
          <w:bCs/>
          <w:color w:val="auto"/>
          <w:sz w:val="24"/>
          <w:szCs w:val="24"/>
          <w:highlight w:val="none"/>
        </w:rPr>
      </w:pPr>
      <w:bookmarkStart w:id="0" w:name="_Toc23375"/>
      <w:r>
        <w:rPr>
          <w:rFonts w:hint="eastAsia" w:ascii="宋体" w:hAnsi="宋体" w:eastAsia="宋体" w:cs="宋体"/>
          <w:b/>
          <w:bCs/>
          <w:color w:val="auto"/>
          <w:sz w:val="24"/>
          <w:szCs w:val="24"/>
          <w:highlight w:val="none"/>
        </w:rPr>
        <w:t>政 府 采 购 合 同</w:t>
      </w:r>
      <w:bookmarkEnd w:id="0"/>
    </w:p>
    <w:p w14:paraId="33871ECE">
      <w:pPr>
        <w:spacing w:before="120" w:line="360" w:lineRule="auto"/>
        <w:jc w:val="center"/>
        <w:rPr>
          <w:rFonts w:hint="eastAsia" w:ascii="宋体" w:hAnsi="宋体" w:eastAsia="宋体" w:cs="宋体"/>
          <w:color w:val="auto"/>
          <w:sz w:val="24"/>
          <w:szCs w:val="24"/>
          <w:highlight w:val="none"/>
        </w:rPr>
      </w:pPr>
    </w:p>
    <w:p w14:paraId="264C028A">
      <w:pPr>
        <w:spacing w:before="120" w:line="360" w:lineRule="auto"/>
        <w:jc w:val="center"/>
        <w:rPr>
          <w:rFonts w:hint="eastAsia" w:ascii="宋体" w:hAnsi="宋体" w:eastAsia="宋体" w:cs="宋体"/>
          <w:color w:val="auto"/>
          <w:sz w:val="24"/>
          <w:szCs w:val="24"/>
          <w:highlight w:val="none"/>
        </w:rPr>
      </w:pPr>
      <w:bookmarkStart w:id="1" w:name="_Toc109542396"/>
      <w:bookmarkStart w:id="2" w:name="_Toc109543216"/>
      <w:r>
        <w:rPr>
          <w:rFonts w:hint="eastAsia" w:ascii="宋体" w:hAnsi="宋体" w:eastAsia="宋体" w:cs="宋体"/>
          <w:b/>
          <w:bCs/>
          <w:color w:val="auto"/>
          <w:sz w:val="24"/>
          <w:szCs w:val="24"/>
          <w:highlight w:val="none"/>
        </w:rPr>
        <w:t>合同编号：</w:t>
      </w:r>
      <w:bookmarkEnd w:id="1"/>
      <w:bookmarkEnd w:id="2"/>
      <w:r>
        <w:rPr>
          <w:rFonts w:hint="eastAsia" w:ascii="宋体" w:hAnsi="宋体" w:eastAsia="宋体" w:cs="宋体"/>
          <w:b/>
          <w:bCs/>
          <w:color w:val="auto"/>
          <w:sz w:val="24"/>
          <w:szCs w:val="24"/>
          <w:highlight w:val="none"/>
          <w:lang w:val="en-US" w:eastAsia="zh-CN"/>
        </w:rPr>
        <w:t>__________</w:t>
      </w:r>
    </w:p>
    <w:p w14:paraId="35D81B4B">
      <w:pPr>
        <w:pStyle w:val="4"/>
        <w:spacing w:before="120" w:line="360" w:lineRule="auto"/>
        <w:ind w:firstLine="0"/>
        <w:rPr>
          <w:rFonts w:hint="eastAsia" w:ascii="宋体" w:hAnsi="宋体" w:eastAsia="宋体" w:cs="宋体"/>
          <w:color w:val="auto"/>
          <w:sz w:val="24"/>
          <w:szCs w:val="24"/>
          <w:highlight w:val="none"/>
        </w:rPr>
      </w:pPr>
    </w:p>
    <w:p w14:paraId="4BCF0D62">
      <w:pPr>
        <w:spacing w:before="120" w:line="360" w:lineRule="auto"/>
        <w:rPr>
          <w:rFonts w:hint="eastAsia" w:ascii="宋体" w:hAnsi="宋体" w:eastAsia="宋体" w:cs="宋体"/>
          <w:b/>
          <w:bCs/>
          <w:color w:val="auto"/>
          <w:sz w:val="24"/>
          <w:szCs w:val="24"/>
          <w:highlight w:val="none"/>
        </w:rPr>
      </w:pPr>
    </w:p>
    <w:p w14:paraId="06896671">
      <w:pPr>
        <w:pStyle w:val="6"/>
        <w:spacing w:line="360" w:lineRule="auto"/>
        <w:rPr>
          <w:rFonts w:hint="eastAsia" w:ascii="宋体" w:hAnsi="宋体" w:eastAsia="宋体" w:cs="宋体"/>
          <w:b/>
          <w:bCs/>
          <w:color w:val="auto"/>
          <w:sz w:val="24"/>
          <w:szCs w:val="24"/>
          <w:highlight w:val="none"/>
        </w:rPr>
      </w:pPr>
    </w:p>
    <w:p w14:paraId="77B34E94">
      <w:pPr>
        <w:spacing w:line="360" w:lineRule="auto"/>
        <w:rPr>
          <w:rFonts w:hint="eastAsia" w:ascii="宋体" w:hAnsi="宋体" w:eastAsia="宋体" w:cs="宋体"/>
          <w:b/>
          <w:bCs/>
          <w:color w:val="auto"/>
          <w:sz w:val="24"/>
          <w:szCs w:val="24"/>
          <w:highlight w:val="none"/>
        </w:rPr>
      </w:pPr>
    </w:p>
    <w:p w14:paraId="655B25DA">
      <w:pPr>
        <w:pStyle w:val="6"/>
        <w:spacing w:line="360" w:lineRule="auto"/>
        <w:rPr>
          <w:rFonts w:hint="eastAsia" w:ascii="宋体" w:hAnsi="宋体" w:eastAsia="宋体" w:cs="宋体"/>
          <w:color w:val="auto"/>
          <w:sz w:val="24"/>
          <w:szCs w:val="24"/>
          <w:highlight w:val="none"/>
        </w:rPr>
      </w:pPr>
    </w:p>
    <w:p w14:paraId="7544BF56">
      <w:pPr>
        <w:spacing w:before="120" w:line="360" w:lineRule="auto"/>
        <w:ind w:left="960"/>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sz w:val="24"/>
          <w:szCs w:val="24"/>
          <w:highlight w:val="none"/>
        </w:rPr>
        <w:t>采购项目名称 ：</w:t>
      </w:r>
      <w:r>
        <w:rPr>
          <w:rFonts w:hint="eastAsia" w:ascii="宋体" w:hAnsi="宋体" w:eastAsia="宋体" w:cs="宋体"/>
          <w:b/>
          <w:bCs/>
          <w:color w:val="auto"/>
          <w:sz w:val="24"/>
          <w:szCs w:val="24"/>
          <w:highlight w:val="none"/>
          <w:lang w:val="en-US" w:eastAsia="zh-CN"/>
        </w:rPr>
        <w:t xml:space="preserve">________________________________  </w:t>
      </w:r>
    </w:p>
    <w:p w14:paraId="6F52FE01">
      <w:pPr>
        <w:spacing w:before="120" w:line="360" w:lineRule="auto"/>
        <w:ind w:left="96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采购人（甲方）：</w:t>
      </w:r>
      <w:r>
        <w:rPr>
          <w:rFonts w:hint="eastAsia" w:ascii="宋体" w:hAnsi="宋体" w:eastAsia="宋体" w:cs="宋体"/>
          <w:b/>
          <w:bCs/>
          <w:color w:val="auto"/>
          <w:sz w:val="24"/>
          <w:szCs w:val="24"/>
          <w:highlight w:val="none"/>
          <w:lang w:val="en-US" w:eastAsia="zh-CN"/>
        </w:rPr>
        <w:t>_______________________________</w:t>
      </w:r>
    </w:p>
    <w:p w14:paraId="647F7DF0">
      <w:pPr>
        <w:spacing w:before="120" w:line="360" w:lineRule="auto"/>
        <w:ind w:left="96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成交供应商（乙方）：</w:t>
      </w:r>
      <w:r>
        <w:rPr>
          <w:rFonts w:hint="eastAsia" w:ascii="宋体" w:hAnsi="宋体" w:eastAsia="宋体" w:cs="宋体"/>
          <w:b/>
          <w:bCs/>
          <w:color w:val="auto"/>
          <w:sz w:val="24"/>
          <w:szCs w:val="24"/>
          <w:highlight w:val="none"/>
          <w:lang w:val="en-US" w:eastAsia="zh-CN"/>
        </w:rPr>
        <w:t>___________________________</w:t>
      </w:r>
    </w:p>
    <w:p w14:paraId="00E8A1DC">
      <w:pPr>
        <w:spacing w:before="120" w:line="360" w:lineRule="auto"/>
        <w:ind w:left="960"/>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签署地点 ：</w:t>
      </w:r>
      <w:r>
        <w:rPr>
          <w:rFonts w:hint="eastAsia" w:ascii="宋体" w:hAnsi="宋体" w:eastAsia="宋体" w:cs="宋体"/>
          <w:b/>
          <w:bCs/>
          <w:color w:val="auto"/>
          <w:sz w:val="24"/>
          <w:szCs w:val="24"/>
          <w:highlight w:val="none"/>
          <w:lang w:val="en-US" w:eastAsia="zh-CN"/>
        </w:rPr>
        <w:t>____________________________________</w:t>
      </w:r>
    </w:p>
    <w:p w14:paraId="51DB369B">
      <w:pPr>
        <w:spacing w:before="120" w:line="360" w:lineRule="auto"/>
        <w:ind w:left="960"/>
        <w:rPr>
          <w:rFonts w:hint="eastAsia" w:ascii="宋体" w:hAnsi="宋体" w:eastAsia="宋体" w:cs="宋体"/>
          <w:b/>
          <w:bCs/>
          <w:color w:val="auto"/>
          <w:sz w:val="24"/>
          <w:szCs w:val="24"/>
          <w:highlight w:val="none"/>
        </w:rPr>
        <w:sectPr>
          <w:footerReference r:id="rId3" w:type="default"/>
          <w:pgSz w:w="11906" w:h="16838"/>
          <w:pgMar w:top="1418" w:right="1423" w:bottom="1418" w:left="1644" w:header="720" w:footer="720" w:gutter="0"/>
          <w:pgNumType w:fmt="decimal" w:start="1"/>
          <w:cols w:space="720" w:num="1"/>
          <w:docGrid w:linePitch="288" w:charSpace="-3449"/>
        </w:sectPr>
      </w:pPr>
      <w:r>
        <w:rPr>
          <w:rFonts w:hint="eastAsia" w:ascii="宋体" w:hAnsi="宋体" w:eastAsia="宋体" w:cs="宋体"/>
          <w:b/>
          <w:bCs/>
          <w:color w:val="auto"/>
          <w:sz w:val="24"/>
          <w:szCs w:val="24"/>
          <w:highlight w:val="none"/>
        </w:rPr>
        <w:t>签署日期 ：</w:t>
      </w:r>
      <w:r>
        <w:rPr>
          <w:rFonts w:hint="eastAsia" w:ascii="宋体" w:hAnsi="宋体" w:eastAsia="宋体" w:cs="宋体"/>
          <w:b/>
          <w:bCs/>
          <w:color w:val="auto"/>
          <w:sz w:val="24"/>
          <w:szCs w:val="24"/>
          <w:highlight w:val="none"/>
          <w:lang w:val="en-US" w:eastAsia="zh-CN"/>
        </w:rPr>
        <w:t>____________________________________</w:t>
      </w:r>
    </w:p>
    <w:p w14:paraId="09C3A12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》、《中华人民共和国政府采购法》与项目行业有关的法律法规，以及2026年食品安全监督抽检项目的《</w:t>
      </w:r>
      <w:r>
        <w:rPr>
          <w:rFonts w:hint="eastAsia" w:hAnsi="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eastAsia="zh-CN"/>
        </w:rPr>
        <w:t>文件</w:t>
      </w:r>
      <w:r>
        <w:rPr>
          <w:rFonts w:hint="eastAsia" w:ascii="宋体" w:hAnsi="宋体" w:eastAsia="宋体" w:cs="宋体"/>
          <w:color w:val="auto"/>
          <w:sz w:val="24"/>
          <w:szCs w:val="24"/>
          <w:highlight w:val="none"/>
        </w:rPr>
        <w:t>》，乙方的《</w:t>
      </w:r>
      <w:r>
        <w:rPr>
          <w:rFonts w:hint="eastAsia"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文件》及《</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通知书》，甲、乙双方同意签订本合同。详细技术说明及其他有关合同项目的特定信息由合同附件予以说明，合同附件及本项目的《</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通知书》等均为本合同的组成部分。</w:t>
      </w:r>
    </w:p>
    <w:p w14:paraId="7417C1E9">
      <w:pPr>
        <w:numPr>
          <w:ilvl w:val="0"/>
          <w:numId w:val="0"/>
        </w:numPr>
        <w:spacing w:line="360" w:lineRule="auto"/>
        <w:ind w:left="426" w:leftChars="0"/>
        <w:outlineLvl w:val="1"/>
        <w:rPr>
          <w:rFonts w:hint="eastAsia" w:ascii="宋体" w:hAnsi="宋体" w:eastAsia="宋体" w:cs="宋体"/>
          <w:b/>
          <w:bCs/>
          <w:color w:val="auto"/>
          <w:kern w:val="2"/>
          <w:sz w:val="24"/>
          <w:szCs w:val="24"/>
          <w:highlight w:val="none"/>
          <w:lang w:val="en-US" w:eastAsia="zh-CN" w:bidi="ar-SA"/>
        </w:rPr>
      </w:pPr>
      <w:bookmarkStart w:id="3" w:name="_Toc28597"/>
      <w:bookmarkStart w:id="4" w:name="_Toc239568418"/>
      <w:bookmarkStart w:id="5" w:name="_Toc232492928"/>
      <w:bookmarkStart w:id="6" w:name="_Toc211911348"/>
      <w:bookmarkStart w:id="7" w:name="_Toc185395249"/>
      <w:bookmarkStart w:id="8" w:name="_Toc212019594"/>
      <w:bookmarkStart w:id="9" w:name="_Toc225654644"/>
      <w:bookmarkStart w:id="10" w:name="_Toc225244852"/>
      <w:bookmarkStart w:id="11" w:name="_Toc282696226"/>
      <w:bookmarkStart w:id="12" w:name="_Toc251768862"/>
      <w:bookmarkStart w:id="13" w:name="_Toc211854449"/>
      <w:bookmarkStart w:id="14" w:name="_Toc225670751"/>
      <w:bookmarkStart w:id="15" w:name="_Toc283019214"/>
      <w:bookmarkStart w:id="16" w:name="_Toc241833903"/>
      <w:bookmarkStart w:id="17" w:name="_Toc237145406"/>
      <w:bookmarkStart w:id="18" w:name="_Toc238984975"/>
      <w:bookmarkStart w:id="19" w:name="_Toc286993786"/>
      <w:bookmarkStart w:id="20" w:name="_Toc247334841"/>
      <w:bookmarkStart w:id="21" w:name="_Toc239233914"/>
      <w:r>
        <w:rPr>
          <w:rFonts w:hint="eastAsia" w:ascii="宋体" w:hAnsi="宋体" w:eastAsia="宋体" w:cs="宋体"/>
          <w:b/>
          <w:bCs/>
          <w:color w:val="auto"/>
          <w:kern w:val="2"/>
          <w:sz w:val="24"/>
          <w:szCs w:val="24"/>
          <w:highlight w:val="none"/>
          <w:lang w:val="en-US" w:eastAsia="zh-CN" w:bidi="ar-SA"/>
        </w:rPr>
        <w:t>第一条采购需求及明细</w:t>
      </w:r>
    </w:p>
    <w:p w14:paraId="51AB15B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按照&lt;&lt;西安市市场监督管理局关于下达2026年食品安全监督抽检任务数量的通知&gt;&gt;(西市监发)[2025]81号)和&lt;&lt;西安市市场监督管理局关于转发&lt;陕西省市场监督管理局关于研提2026年度食品安全抽检检测计划任务的通知&gt;的通知&gt;&gt;文件要求完成市局下派经开区2026年度食品检测任务，为我局排查辖区食品安全风险隐患提供有效技术支持。</w:t>
      </w:r>
    </w:p>
    <w:tbl>
      <w:tblPr>
        <w:tblStyle w:val="11"/>
        <w:tblW w:w="9285" w:type="dxa"/>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1552"/>
        <w:gridCol w:w="3051"/>
        <w:gridCol w:w="1681"/>
        <w:gridCol w:w="2238"/>
      </w:tblGrid>
      <w:tr w14:paraId="08BA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trPr>
        <w:tc>
          <w:tcPr>
            <w:tcW w:w="763" w:type="dxa"/>
            <w:noWrap w:val="0"/>
            <w:vAlign w:val="center"/>
          </w:tcPr>
          <w:p w14:paraId="60833B02">
            <w:pPr>
              <w:ind w:left="0" w:leftChars="0" w:firstLine="0" w:firstLineChars="0"/>
              <w:jc w:val="center"/>
              <w:rPr>
                <w:rFonts w:hint="eastAsia" w:ascii="宋体" w:hAnsi="宋体" w:eastAsia="宋体" w:cs="宋体"/>
                <w:b/>
                <w:bCs/>
                <w:sz w:val="22"/>
                <w:szCs w:val="22"/>
                <w:highlight w:val="none"/>
                <w:vertAlign w:val="baseline"/>
                <w:lang w:val="en-US" w:eastAsia="zh-CN" w:bidi="ar-SA"/>
              </w:rPr>
            </w:pPr>
            <w:r>
              <w:rPr>
                <w:rFonts w:hint="eastAsia" w:ascii="宋体" w:hAnsi="宋体" w:eastAsia="宋体" w:cs="宋体"/>
                <w:b/>
                <w:bCs/>
                <w:sz w:val="22"/>
                <w:szCs w:val="22"/>
                <w:highlight w:val="none"/>
                <w:vertAlign w:val="baseline"/>
                <w:lang w:val="en-US" w:eastAsia="zh-CN" w:bidi="ar-SA"/>
              </w:rPr>
              <w:t>序号</w:t>
            </w:r>
          </w:p>
        </w:tc>
        <w:tc>
          <w:tcPr>
            <w:tcW w:w="1552" w:type="dxa"/>
            <w:noWrap w:val="0"/>
            <w:vAlign w:val="center"/>
          </w:tcPr>
          <w:p w14:paraId="7F47FD0D">
            <w:pPr>
              <w:ind w:left="0" w:leftChars="0" w:firstLine="0" w:firstLineChars="0"/>
              <w:jc w:val="center"/>
              <w:rPr>
                <w:rFonts w:hint="eastAsia" w:ascii="宋体" w:hAnsi="宋体" w:eastAsia="宋体" w:cs="宋体"/>
                <w:b/>
                <w:bCs/>
                <w:sz w:val="22"/>
                <w:szCs w:val="22"/>
                <w:highlight w:val="none"/>
                <w:vertAlign w:val="baseline"/>
                <w:lang w:val="en-US" w:eastAsia="zh-CN" w:bidi="ar-SA"/>
              </w:rPr>
            </w:pPr>
            <w:r>
              <w:rPr>
                <w:rFonts w:hint="eastAsia" w:ascii="宋体" w:hAnsi="宋体" w:eastAsia="宋体" w:cs="宋体"/>
                <w:b/>
                <w:bCs/>
                <w:sz w:val="22"/>
                <w:szCs w:val="22"/>
                <w:highlight w:val="none"/>
                <w:vertAlign w:val="baseline"/>
                <w:lang w:val="en-US" w:eastAsia="zh-CN" w:bidi="ar-SA"/>
              </w:rPr>
              <w:t>包号</w:t>
            </w:r>
          </w:p>
        </w:tc>
        <w:tc>
          <w:tcPr>
            <w:tcW w:w="3051" w:type="dxa"/>
            <w:noWrap w:val="0"/>
            <w:vAlign w:val="center"/>
          </w:tcPr>
          <w:p w14:paraId="26BDF463">
            <w:pPr>
              <w:ind w:left="0" w:leftChars="0" w:firstLine="0" w:firstLineChars="0"/>
              <w:jc w:val="center"/>
              <w:rPr>
                <w:rFonts w:hint="eastAsia" w:ascii="宋体" w:hAnsi="宋体" w:eastAsia="宋体" w:cs="宋体"/>
                <w:b/>
                <w:bCs/>
                <w:sz w:val="22"/>
                <w:szCs w:val="22"/>
                <w:highlight w:val="none"/>
                <w:vertAlign w:val="baseline"/>
                <w:lang w:val="en-US" w:eastAsia="zh-CN" w:bidi="ar-SA"/>
              </w:rPr>
            </w:pPr>
            <w:r>
              <w:rPr>
                <w:rFonts w:hint="eastAsia" w:ascii="宋体" w:hAnsi="宋体" w:eastAsia="宋体" w:cs="宋体"/>
                <w:b/>
                <w:bCs/>
                <w:sz w:val="22"/>
                <w:szCs w:val="22"/>
                <w:highlight w:val="none"/>
                <w:vertAlign w:val="baseline"/>
                <w:lang w:val="en-US" w:eastAsia="zh-CN" w:bidi="ar-SA"/>
              </w:rPr>
              <w:t>抽检批次</w:t>
            </w:r>
          </w:p>
        </w:tc>
        <w:tc>
          <w:tcPr>
            <w:tcW w:w="1681" w:type="dxa"/>
            <w:noWrap w:val="0"/>
            <w:vAlign w:val="center"/>
          </w:tcPr>
          <w:p w14:paraId="70EDC48C">
            <w:pPr>
              <w:ind w:left="0" w:leftChars="0" w:firstLine="0" w:firstLineChars="0"/>
              <w:jc w:val="center"/>
              <w:rPr>
                <w:rFonts w:hint="eastAsia" w:ascii="宋体" w:hAnsi="宋体" w:eastAsia="宋体" w:cs="宋体"/>
                <w:b/>
                <w:bCs/>
                <w:sz w:val="22"/>
                <w:szCs w:val="22"/>
                <w:highlight w:val="none"/>
                <w:vertAlign w:val="baseline"/>
                <w:lang w:val="en-US" w:eastAsia="zh-CN" w:bidi="ar-SA"/>
              </w:rPr>
            </w:pPr>
            <w:r>
              <w:rPr>
                <w:rFonts w:hint="eastAsia" w:ascii="宋体" w:hAnsi="宋体" w:eastAsia="宋体" w:cs="宋体"/>
                <w:b/>
                <w:bCs/>
                <w:sz w:val="22"/>
                <w:szCs w:val="22"/>
                <w:highlight w:val="none"/>
                <w:vertAlign w:val="baseline"/>
                <w:lang w:val="en-US" w:eastAsia="zh-CN" w:bidi="ar-SA"/>
              </w:rPr>
              <w:t>预算金额</w:t>
            </w:r>
          </w:p>
          <w:p w14:paraId="1DCB6DB5">
            <w:pPr>
              <w:ind w:left="0" w:leftChars="0" w:firstLine="0" w:firstLineChars="0"/>
              <w:jc w:val="center"/>
              <w:rPr>
                <w:rFonts w:hint="eastAsia" w:ascii="宋体" w:hAnsi="宋体" w:eastAsia="宋体" w:cs="宋体"/>
                <w:b/>
                <w:bCs/>
                <w:sz w:val="22"/>
                <w:szCs w:val="22"/>
                <w:highlight w:val="none"/>
                <w:vertAlign w:val="baseline"/>
                <w:lang w:val="en-US" w:eastAsia="zh-CN" w:bidi="ar-SA"/>
              </w:rPr>
            </w:pPr>
            <w:r>
              <w:rPr>
                <w:rFonts w:hint="eastAsia" w:ascii="宋体" w:hAnsi="宋体" w:eastAsia="宋体" w:cs="宋体"/>
                <w:b/>
                <w:bCs/>
                <w:sz w:val="22"/>
                <w:szCs w:val="22"/>
                <w:highlight w:val="none"/>
                <w:vertAlign w:val="baseline"/>
                <w:lang w:val="en-US" w:eastAsia="zh-CN" w:bidi="ar-SA"/>
              </w:rPr>
              <w:t>（万元）</w:t>
            </w:r>
          </w:p>
        </w:tc>
        <w:tc>
          <w:tcPr>
            <w:tcW w:w="2238" w:type="dxa"/>
            <w:noWrap w:val="0"/>
            <w:vAlign w:val="center"/>
          </w:tcPr>
          <w:p w14:paraId="22D5A30A">
            <w:pPr>
              <w:ind w:left="0" w:leftChars="0" w:firstLine="0" w:firstLineChars="0"/>
              <w:jc w:val="center"/>
              <w:rPr>
                <w:rFonts w:hint="eastAsia" w:ascii="宋体" w:hAnsi="宋体" w:eastAsia="宋体" w:cs="宋体"/>
                <w:b/>
                <w:bCs/>
                <w:sz w:val="22"/>
                <w:szCs w:val="22"/>
                <w:highlight w:val="none"/>
                <w:vertAlign w:val="baseline"/>
                <w:lang w:val="en-US" w:eastAsia="zh-CN" w:bidi="ar-SA"/>
              </w:rPr>
            </w:pPr>
            <w:r>
              <w:rPr>
                <w:rFonts w:hint="eastAsia" w:ascii="宋体" w:hAnsi="宋体" w:eastAsia="宋体" w:cs="宋体"/>
                <w:b/>
                <w:bCs/>
                <w:sz w:val="22"/>
                <w:szCs w:val="22"/>
                <w:highlight w:val="none"/>
                <w:vertAlign w:val="baseline"/>
                <w:lang w:val="en-US" w:eastAsia="zh-CN" w:bidi="ar-SA"/>
              </w:rPr>
              <w:t>采购需求</w:t>
            </w:r>
          </w:p>
        </w:tc>
      </w:tr>
      <w:tr w14:paraId="5F19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exact"/>
        </w:trPr>
        <w:tc>
          <w:tcPr>
            <w:tcW w:w="763" w:type="dxa"/>
            <w:noWrap w:val="0"/>
            <w:vAlign w:val="center"/>
          </w:tcPr>
          <w:p w14:paraId="2BE499EE">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1</w:t>
            </w:r>
          </w:p>
        </w:tc>
        <w:tc>
          <w:tcPr>
            <w:tcW w:w="1552" w:type="dxa"/>
            <w:noWrap w:val="0"/>
            <w:vAlign w:val="center"/>
          </w:tcPr>
          <w:p w14:paraId="73523446">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第一包</w:t>
            </w:r>
          </w:p>
        </w:tc>
        <w:tc>
          <w:tcPr>
            <w:tcW w:w="3051" w:type="dxa"/>
            <w:noWrap w:val="0"/>
            <w:vAlign w:val="center"/>
          </w:tcPr>
          <w:p w14:paraId="14FB10C9">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抽检240批次（其中食用农水产品不高于49批次），快检360批次</w:t>
            </w:r>
          </w:p>
        </w:tc>
        <w:tc>
          <w:tcPr>
            <w:tcW w:w="1681" w:type="dxa"/>
            <w:noWrap w:val="0"/>
            <w:vAlign w:val="center"/>
          </w:tcPr>
          <w:p w14:paraId="373F9752">
            <w:pPr>
              <w:ind w:left="0" w:leftChars="0" w:firstLine="0" w:firstLineChars="0"/>
              <w:jc w:val="center"/>
              <w:rPr>
                <w:rFonts w:hint="default"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30</w:t>
            </w:r>
          </w:p>
        </w:tc>
        <w:tc>
          <w:tcPr>
            <w:tcW w:w="2238" w:type="dxa"/>
            <w:vMerge w:val="restart"/>
            <w:noWrap w:val="0"/>
            <w:vAlign w:val="center"/>
          </w:tcPr>
          <w:p w14:paraId="7C39E55E">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2026年食品安全监督抽检项目</w:t>
            </w:r>
          </w:p>
        </w:tc>
      </w:tr>
      <w:tr w14:paraId="35BEE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trPr>
        <w:tc>
          <w:tcPr>
            <w:tcW w:w="763" w:type="dxa"/>
            <w:noWrap w:val="0"/>
            <w:vAlign w:val="center"/>
          </w:tcPr>
          <w:p w14:paraId="3BF6B792">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2</w:t>
            </w:r>
          </w:p>
        </w:tc>
        <w:tc>
          <w:tcPr>
            <w:tcW w:w="1552" w:type="dxa"/>
            <w:noWrap w:val="0"/>
            <w:vAlign w:val="center"/>
          </w:tcPr>
          <w:p w14:paraId="51236226">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第二包</w:t>
            </w:r>
          </w:p>
        </w:tc>
        <w:tc>
          <w:tcPr>
            <w:tcW w:w="3051" w:type="dxa"/>
            <w:noWrap w:val="0"/>
            <w:vAlign w:val="center"/>
          </w:tcPr>
          <w:p w14:paraId="0629731A">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抽检240批次（其中食用农水产品不高于49批次），快检360批次</w:t>
            </w:r>
          </w:p>
        </w:tc>
        <w:tc>
          <w:tcPr>
            <w:tcW w:w="1681" w:type="dxa"/>
            <w:noWrap w:val="0"/>
            <w:vAlign w:val="center"/>
          </w:tcPr>
          <w:p w14:paraId="37526368">
            <w:pPr>
              <w:ind w:left="0" w:leftChars="0" w:firstLine="0" w:firstLineChars="0"/>
              <w:jc w:val="center"/>
              <w:rPr>
                <w:rFonts w:hint="default" w:ascii="宋体" w:hAnsi="宋体" w:eastAsia="宋体" w:cs="宋体"/>
                <w:sz w:val="22"/>
                <w:szCs w:val="22"/>
                <w:highlight w:val="none"/>
                <w:lang w:val="en-US" w:eastAsia="zh-CN" w:bidi="ar-SA"/>
              </w:rPr>
            </w:pPr>
            <w:r>
              <w:rPr>
                <w:rFonts w:hint="eastAsia" w:ascii="宋体" w:hAnsi="宋体" w:eastAsia="宋体" w:cs="宋体"/>
                <w:sz w:val="22"/>
                <w:szCs w:val="22"/>
                <w:highlight w:val="none"/>
                <w:lang w:val="en-US" w:eastAsia="zh-CN" w:bidi="ar-SA"/>
              </w:rPr>
              <w:t>30</w:t>
            </w:r>
          </w:p>
        </w:tc>
        <w:tc>
          <w:tcPr>
            <w:tcW w:w="2238" w:type="dxa"/>
            <w:vMerge w:val="continue"/>
            <w:noWrap w:val="0"/>
            <w:vAlign w:val="center"/>
          </w:tcPr>
          <w:p w14:paraId="285387CB">
            <w:pPr>
              <w:ind w:firstLine="420"/>
              <w:jc w:val="center"/>
              <w:rPr>
                <w:rFonts w:hint="eastAsia" w:ascii="宋体" w:hAnsi="宋体" w:eastAsia="宋体" w:cs="宋体"/>
                <w:sz w:val="22"/>
                <w:szCs w:val="22"/>
                <w:highlight w:val="none"/>
                <w:vertAlign w:val="baseline"/>
                <w:lang w:val="en-US" w:eastAsia="zh-CN" w:bidi="ar-SA"/>
              </w:rPr>
            </w:pPr>
          </w:p>
        </w:tc>
      </w:tr>
      <w:tr w14:paraId="4D44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rPr>
        <w:tc>
          <w:tcPr>
            <w:tcW w:w="763" w:type="dxa"/>
            <w:noWrap w:val="0"/>
            <w:vAlign w:val="center"/>
          </w:tcPr>
          <w:p w14:paraId="7033D912">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3</w:t>
            </w:r>
          </w:p>
        </w:tc>
        <w:tc>
          <w:tcPr>
            <w:tcW w:w="1552" w:type="dxa"/>
            <w:noWrap w:val="0"/>
            <w:vAlign w:val="center"/>
          </w:tcPr>
          <w:p w14:paraId="5CDB370B">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第三包</w:t>
            </w:r>
          </w:p>
        </w:tc>
        <w:tc>
          <w:tcPr>
            <w:tcW w:w="3051" w:type="dxa"/>
            <w:noWrap w:val="0"/>
            <w:vAlign w:val="center"/>
          </w:tcPr>
          <w:p w14:paraId="5E6F5280">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抽检240批次（其中食用农水产品不高于49批次），快检360批次</w:t>
            </w:r>
          </w:p>
        </w:tc>
        <w:tc>
          <w:tcPr>
            <w:tcW w:w="1681" w:type="dxa"/>
            <w:noWrap w:val="0"/>
            <w:vAlign w:val="center"/>
          </w:tcPr>
          <w:p w14:paraId="37BDE173">
            <w:pPr>
              <w:ind w:left="0" w:leftChars="0" w:firstLine="0" w:firstLineChars="0"/>
              <w:jc w:val="center"/>
              <w:rPr>
                <w:rFonts w:hint="default"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30</w:t>
            </w:r>
          </w:p>
        </w:tc>
        <w:tc>
          <w:tcPr>
            <w:tcW w:w="2238" w:type="dxa"/>
            <w:vMerge w:val="continue"/>
            <w:noWrap w:val="0"/>
            <w:vAlign w:val="center"/>
          </w:tcPr>
          <w:p w14:paraId="2541F8F6">
            <w:pPr>
              <w:ind w:firstLine="420"/>
              <w:jc w:val="center"/>
              <w:rPr>
                <w:rFonts w:hint="eastAsia" w:ascii="宋体" w:hAnsi="宋体" w:eastAsia="宋体" w:cs="宋体"/>
                <w:sz w:val="22"/>
                <w:szCs w:val="22"/>
                <w:highlight w:val="none"/>
                <w:vertAlign w:val="baseline"/>
                <w:lang w:val="en-US" w:eastAsia="zh-CN" w:bidi="ar-SA"/>
              </w:rPr>
            </w:pPr>
          </w:p>
        </w:tc>
      </w:tr>
      <w:tr w14:paraId="7821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exact"/>
        </w:trPr>
        <w:tc>
          <w:tcPr>
            <w:tcW w:w="763" w:type="dxa"/>
            <w:noWrap w:val="0"/>
            <w:vAlign w:val="center"/>
          </w:tcPr>
          <w:p w14:paraId="0E199C44">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4</w:t>
            </w:r>
          </w:p>
        </w:tc>
        <w:tc>
          <w:tcPr>
            <w:tcW w:w="1552" w:type="dxa"/>
            <w:noWrap w:val="0"/>
            <w:vAlign w:val="center"/>
          </w:tcPr>
          <w:p w14:paraId="330EB637">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第四包</w:t>
            </w:r>
          </w:p>
        </w:tc>
        <w:tc>
          <w:tcPr>
            <w:tcW w:w="3051" w:type="dxa"/>
            <w:noWrap w:val="0"/>
            <w:vAlign w:val="center"/>
          </w:tcPr>
          <w:p w14:paraId="234C2C6C">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抽检240批次（其中食用农水产品不高于49批次），快检360批次</w:t>
            </w:r>
          </w:p>
        </w:tc>
        <w:tc>
          <w:tcPr>
            <w:tcW w:w="1681" w:type="dxa"/>
            <w:noWrap w:val="0"/>
            <w:vAlign w:val="center"/>
          </w:tcPr>
          <w:p w14:paraId="47499D24">
            <w:pPr>
              <w:ind w:left="0" w:leftChars="0" w:firstLine="0" w:firstLineChars="0"/>
              <w:jc w:val="center"/>
              <w:rPr>
                <w:rFonts w:hint="default"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30</w:t>
            </w:r>
          </w:p>
        </w:tc>
        <w:tc>
          <w:tcPr>
            <w:tcW w:w="2238" w:type="dxa"/>
            <w:vMerge w:val="continue"/>
            <w:noWrap w:val="0"/>
            <w:vAlign w:val="center"/>
          </w:tcPr>
          <w:p w14:paraId="06DB8BCE">
            <w:pPr>
              <w:ind w:firstLine="420"/>
              <w:jc w:val="center"/>
              <w:rPr>
                <w:rFonts w:hint="eastAsia" w:ascii="宋体" w:hAnsi="宋体" w:eastAsia="宋体" w:cs="宋体"/>
                <w:sz w:val="22"/>
                <w:szCs w:val="22"/>
                <w:highlight w:val="none"/>
                <w:vertAlign w:val="baseline"/>
                <w:lang w:val="en-US" w:eastAsia="zh-CN" w:bidi="ar-SA"/>
              </w:rPr>
            </w:pPr>
          </w:p>
        </w:tc>
      </w:tr>
      <w:tr w14:paraId="4944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exact"/>
        </w:trPr>
        <w:tc>
          <w:tcPr>
            <w:tcW w:w="763" w:type="dxa"/>
            <w:noWrap w:val="0"/>
            <w:vAlign w:val="center"/>
          </w:tcPr>
          <w:p w14:paraId="76BABD61">
            <w:pPr>
              <w:ind w:left="0" w:leftChars="0" w:firstLine="0" w:firstLineChars="0"/>
              <w:jc w:val="center"/>
              <w:rPr>
                <w:rFonts w:hint="default"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5</w:t>
            </w:r>
          </w:p>
        </w:tc>
        <w:tc>
          <w:tcPr>
            <w:tcW w:w="1552" w:type="dxa"/>
            <w:noWrap w:val="0"/>
            <w:vAlign w:val="center"/>
          </w:tcPr>
          <w:p w14:paraId="611AB2AC">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第五包</w:t>
            </w:r>
          </w:p>
        </w:tc>
        <w:tc>
          <w:tcPr>
            <w:tcW w:w="3051" w:type="dxa"/>
            <w:noWrap w:val="0"/>
            <w:vAlign w:val="center"/>
          </w:tcPr>
          <w:p w14:paraId="4CAAB63A">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抽检240批次（其中食用农水产品不高于49批次），快检360批次</w:t>
            </w:r>
          </w:p>
        </w:tc>
        <w:tc>
          <w:tcPr>
            <w:tcW w:w="1681" w:type="dxa"/>
            <w:noWrap w:val="0"/>
            <w:vAlign w:val="center"/>
          </w:tcPr>
          <w:p w14:paraId="0136E3CD">
            <w:pPr>
              <w:ind w:left="0" w:leftChars="0" w:firstLine="0" w:firstLineChars="0"/>
              <w:jc w:val="center"/>
              <w:rPr>
                <w:rFonts w:hint="default"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30</w:t>
            </w:r>
          </w:p>
        </w:tc>
        <w:tc>
          <w:tcPr>
            <w:tcW w:w="2238" w:type="dxa"/>
            <w:vMerge w:val="continue"/>
            <w:noWrap w:val="0"/>
            <w:vAlign w:val="center"/>
          </w:tcPr>
          <w:p w14:paraId="0FFE5178">
            <w:pPr>
              <w:ind w:firstLine="420"/>
              <w:jc w:val="center"/>
              <w:rPr>
                <w:rFonts w:hint="eastAsia" w:ascii="宋体" w:hAnsi="宋体" w:eastAsia="宋体" w:cs="宋体"/>
                <w:sz w:val="22"/>
                <w:szCs w:val="22"/>
                <w:highlight w:val="none"/>
                <w:vertAlign w:val="baseline"/>
                <w:lang w:val="en-US" w:eastAsia="zh-CN" w:bidi="ar-SA"/>
              </w:rPr>
            </w:pPr>
          </w:p>
        </w:tc>
      </w:tr>
      <w:tr w14:paraId="2EFA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exact"/>
        </w:trPr>
        <w:tc>
          <w:tcPr>
            <w:tcW w:w="763" w:type="dxa"/>
            <w:noWrap w:val="0"/>
            <w:vAlign w:val="center"/>
          </w:tcPr>
          <w:p w14:paraId="5E9D826F">
            <w:pPr>
              <w:ind w:left="0" w:leftChars="0" w:firstLine="0" w:firstLineChars="0"/>
              <w:jc w:val="center"/>
              <w:rPr>
                <w:rFonts w:hint="default"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6</w:t>
            </w:r>
          </w:p>
        </w:tc>
        <w:tc>
          <w:tcPr>
            <w:tcW w:w="1552" w:type="dxa"/>
            <w:noWrap w:val="0"/>
            <w:vAlign w:val="center"/>
          </w:tcPr>
          <w:p w14:paraId="7A1417E8">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第六包</w:t>
            </w:r>
          </w:p>
        </w:tc>
        <w:tc>
          <w:tcPr>
            <w:tcW w:w="3051" w:type="dxa"/>
            <w:noWrap w:val="0"/>
            <w:vAlign w:val="center"/>
          </w:tcPr>
          <w:p w14:paraId="634D69E8">
            <w:pPr>
              <w:ind w:left="0" w:leftChars="0" w:firstLine="0" w:firstLineChars="0"/>
              <w:jc w:val="center"/>
              <w:rPr>
                <w:rFonts w:hint="eastAsia"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抽检240批次（其中食用农水产品不高于49批次），快检360批次</w:t>
            </w:r>
          </w:p>
        </w:tc>
        <w:tc>
          <w:tcPr>
            <w:tcW w:w="1681" w:type="dxa"/>
            <w:noWrap w:val="0"/>
            <w:vAlign w:val="center"/>
          </w:tcPr>
          <w:p w14:paraId="1FC26FAC">
            <w:pPr>
              <w:ind w:left="0" w:leftChars="0" w:firstLine="0" w:firstLineChars="0"/>
              <w:jc w:val="center"/>
              <w:rPr>
                <w:rFonts w:hint="default" w:ascii="宋体" w:hAnsi="宋体" w:eastAsia="宋体" w:cs="宋体"/>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bidi="ar-SA"/>
              </w:rPr>
              <w:t>30</w:t>
            </w:r>
          </w:p>
        </w:tc>
        <w:tc>
          <w:tcPr>
            <w:tcW w:w="2238" w:type="dxa"/>
            <w:vMerge w:val="continue"/>
            <w:noWrap w:val="0"/>
            <w:vAlign w:val="center"/>
          </w:tcPr>
          <w:p w14:paraId="5D34F0B8">
            <w:pPr>
              <w:ind w:firstLine="420"/>
              <w:jc w:val="center"/>
              <w:rPr>
                <w:rFonts w:hint="eastAsia" w:ascii="宋体" w:hAnsi="宋体" w:eastAsia="宋体" w:cs="宋体"/>
                <w:sz w:val="22"/>
                <w:szCs w:val="22"/>
                <w:highlight w:val="none"/>
                <w:vertAlign w:val="baseline"/>
                <w:lang w:val="en-US" w:eastAsia="zh-CN" w:bidi="ar-SA"/>
              </w:rPr>
            </w:pPr>
          </w:p>
        </w:tc>
      </w:tr>
    </w:tbl>
    <w:p w14:paraId="31EDF693">
      <w:pPr>
        <w:ind w:firstLine="420"/>
        <w:rPr>
          <w:rFonts w:hint="eastAsia" w:ascii="宋体" w:hAnsi="宋体" w:eastAsia="宋体" w:cs="宋体"/>
          <w:sz w:val="24"/>
          <w:szCs w:val="24"/>
          <w:highlight w:val="none"/>
          <w:lang w:val="en-US" w:eastAsia="zh-CN" w:bidi="ar-SA"/>
        </w:rPr>
      </w:pPr>
    </w:p>
    <w:p w14:paraId="76ABC79E">
      <w:pPr>
        <w:widowControl/>
        <w:jc w:val="left"/>
        <w:rPr>
          <w:rFonts w:hint="eastAsia" w:ascii="宋体" w:hAnsi="宋体" w:eastAsia="宋体" w:cs="宋体"/>
          <w:b/>
          <w:bCs/>
          <w:color w:val="000000"/>
          <w:kern w:val="0"/>
          <w:sz w:val="24"/>
          <w:szCs w:val="24"/>
          <w:highlight w:val="none"/>
          <w:lang w:val="en-US" w:eastAsia="zh-CN"/>
        </w:rPr>
      </w:pPr>
      <w:r>
        <w:rPr>
          <w:rFonts w:hint="eastAsia" w:ascii="宋体" w:hAnsi="宋体" w:eastAsia="宋体" w:cs="宋体"/>
          <w:b/>
          <w:bCs/>
          <w:color w:val="000000"/>
          <w:kern w:val="0"/>
          <w:sz w:val="24"/>
          <w:szCs w:val="24"/>
          <w:highlight w:val="none"/>
          <w:lang w:val="en-US" w:eastAsia="zh-CN"/>
        </w:rPr>
        <w:br w:type="page"/>
      </w:r>
    </w:p>
    <w:p w14:paraId="10594738">
      <w:pPr>
        <w:widowControl/>
        <w:spacing w:before="48" w:beforeLines="20" w:after="48" w:afterLines="20"/>
        <w:jc w:val="center"/>
        <w:rPr>
          <w:rFonts w:hint="eastAsia" w:ascii="宋体" w:hAnsi="宋体" w:eastAsia="宋体" w:cs="宋体"/>
          <w:b/>
          <w:bCs/>
          <w:color w:val="000000"/>
          <w:kern w:val="0"/>
          <w:sz w:val="24"/>
          <w:szCs w:val="24"/>
          <w:highlight w:val="none"/>
          <w:lang w:val="en-US" w:eastAsia="zh-CN"/>
        </w:rPr>
      </w:pPr>
      <w:r>
        <w:rPr>
          <w:rFonts w:hint="eastAsia" w:ascii="宋体" w:hAnsi="宋体" w:eastAsia="宋体" w:cs="宋体"/>
          <w:b/>
          <w:bCs/>
          <w:color w:val="000000"/>
          <w:kern w:val="0"/>
          <w:sz w:val="24"/>
          <w:szCs w:val="24"/>
          <w:highlight w:val="none"/>
          <w:lang w:val="en-US" w:eastAsia="zh-CN"/>
        </w:rPr>
        <w:t>抽检检测项目表</w:t>
      </w: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6"/>
        <w:gridCol w:w="3513"/>
        <w:gridCol w:w="696"/>
        <w:gridCol w:w="3489"/>
      </w:tblGrid>
      <w:tr w14:paraId="143CA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21AECF9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序号</w:t>
            </w:r>
          </w:p>
        </w:tc>
        <w:tc>
          <w:tcPr>
            <w:tcW w:w="3513"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5B6802B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检测项目名称</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07DA88E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序号</w:t>
            </w:r>
          </w:p>
        </w:tc>
        <w:tc>
          <w:tcPr>
            <w:tcW w:w="3489"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55A3FC3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检测项目名称</w:t>
            </w:r>
          </w:p>
        </w:tc>
      </w:tr>
      <w:tr w14:paraId="43D8B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61DCD9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A8F9F9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6-苄基腺嘌呤</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02F074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B065A9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那可丁</w:t>
            </w:r>
          </w:p>
        </w:tc>
      </w:tr>
      <w:tr w14:paraId="75082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2C5009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5EDE45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乙酸乙酯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D632303">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80FC22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界限指标-溶解性总固体</w:t>
            </w:r>
          </w:p>
        </w:tc>
      </w:tr>
      <w:tr w14:paraId="3D329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EE0037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1B2A30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安赛蜜</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8B707B9">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1E0ABB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脲酶活性</w:t>
            </w:r>
          </w:p>
        </w:tc>
      </w:tr>
      <w:tr w14:paraId="02426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A9CBDC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A2FACC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乙酰甲胺磷</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54850EE">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F82E48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铜</w:t>
            </w:r>
          </w:p>
        </w:tc>
      </w:tr>
      <w:tr w14:paraId="797C7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611A39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641783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氨基酸态氮</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DA16C2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F9B530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纽甜</w:t>
            </w:r>
          </w:p>
        </w:tc>
      </w:tr>
      <w:tr w14:paraId="36E64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221979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864022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罂粟碱</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6C0CEC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6487BB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锰</w:t>
            </w:r>
          </w:p>
        </w:tc>
      </w:tr>
      <w:tr w14:paraId="4B587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C7EAC7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13E280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百菌清</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EA238C4">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39B683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硼砂或硼酸</w:t>
            </w:r>
          </w:p>
        </w:tc>
      </w:tr>
      <w:tr w14:paraId="13F0D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C3FF02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485AC3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荧光增白剂</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262E1A1">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F16A62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地美硝唑</w:t>
            </w:r>
          </w:p>
        </w:tc>
      </w:tr>
      <w:tr w14:paraId="1E747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4E05FE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268AD5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苯并（α）芘</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2D36F8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692155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铅</w:t>
            </w:r>
          </w:p>
        </w:tc>
      </w:tr>
      <w:tr w14:paraId="3D0AE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DA1776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7098DB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游离性余氯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0B58976">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30D09F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溴酸盐</w:t>
            </w:r>
          </w:p>
        </w:tc>
      </w:tr>
      <w:tr w14:paraId="7A5E3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A61FB2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116133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苯甲酸</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27F43F7">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149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437315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氰化物</w:t>
            </w:r>
          </w:p>
        </w:tc>
      </w:tr>
      <w:tr w14:paraId="35CCE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9B0A77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770DF0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原麦汁浓度</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78654ED">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B4708E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硼酸盐</w:t>
            </w:r>
          </w:p>
        </w:tc>
      </w:tr>
      <w:tr w14:paraId="719ED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4C575D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E4BE89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丙酸及其钠盐</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5F77F7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51213F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溶剂残留量</w:t>
            </w:r>
          </w:p>
        </w:tc>
      </w:tr>
      <w:tr w14:paraId="6785C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B9F604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665ADE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展青霉素</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9CCAE3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253E79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耗氧量</w:t>
            </w:r>
          </w:p>
        </w:tc>
      </w:tr>
      <w:tr w14:paraId="3C996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A6074F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31E1D1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不溶于水杂质</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CF6E1D9">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86EA19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挥发酚</w:t>
            </w:r>
          </w:p>
        </w:tc>
      </w:tr>
      <w:tr w14:paraId="10476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4F7AFD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85670C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蔗糖分</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AEE0D2A">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9A8FC3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三聚氰胺</w:t>
            </w:r>
          </w:p>
        </w:tc>
      </w:tr>
      <w:tr w14:paraId="384A1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05968C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3A49E2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茶多酚</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478A256">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EAF104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粪链球菌</w:t>
            </w:r>
          </w:p>
        </w:tc>
      </w:tr>
      <w:tr w14:paraId="004F2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0FB58F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16CD44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脂肪</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1DC397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DD53BA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三氯蔗糖</w:t>
            </w:r>
          </w:p>
        </w:tc>
      </w:tr>
      <w:tr w14:paraId="6EEAC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190EDB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19880F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呈味核苷酸二钠</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56425D1">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AE8C83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色值</w:t>
            </w:r>
          </w:p>
        </w:tc>
      </w:tr>
      <w:tr w14:paraId="6C3AE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336943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F74E52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志贺氏菌</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9DE46A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716B2B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三氯甲烷</w:t>
            </w:r>
          </w:p>
        </w:tc>
      </w:tr>
      <w:tr w14:paraId="7637B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ABBCB0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3320F3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大肠菌群</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4BAC89D">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159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BAB12B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杀螟硫磷</w:t>
            </w:r>
          </w:p>
        </w:tc>
      </w:tr>
      <w:tr w14:paraId="6FA53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246886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F90F6F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噻菌灵</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47F1B38">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1376D9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四氯化碳</w:t>
            </w:r>
          </w:p>
        </w:tc>
      </w:tr>
      <w:tr w14:paraId="5287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7028F3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52B196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总汞</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38EF08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C2E698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沙丁胺醇</w:t>
            </w:r>
          </w:p>
        </w:tc>
      </w:tr>
      <w:tr w14:paraId="4C696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A69F11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4B7841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蛋白质</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D418F34">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E94C03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挥发性酚</w:t>
            </w:r>
          </w:p>
        </w:tc>
      </w:tr>
      <w:tr w14:paraId="144D3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3A029C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411C03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总灰分</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79FFC2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82133E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沙门氏菌</w:t>
            </w:r>
          </w:p>
        </w:tc>
      </w:tr>
      <w:tr w14:paraId="7EBAC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060F97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7767F1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滴滴涕</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BB7865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8BF913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山梨酸</w:t>
            </w:r>
          </w:p>
        </w:tc>
      </w:tr>
      <w:tr w14:paraId="47335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148215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739478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敌敌畏</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851E2D8">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6D8232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山梨酸钾</w:t>
            </w:r>
          </w:p>
        </w:tc>
      </w:tr>
      <w:tr w14:paraId="5670A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887470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B3A94A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总砷</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2598C5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FB40AC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脲酶试验</w:t>
            </w:r>
          </w:p>
        </w:tc>
      </w:tr>
      <w:tr w14:paraId="75A4B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A19933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C40996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蒂巴因</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0A7930F">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4BB6AD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商业无菌</w:t>
            </w:r>
          </w:p>
        </w:tc>
      </w:tr>
      <w:tr w14:paraId="57F8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72A998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C66795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总酸</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0B7BA2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FF71BA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砷</w:t>
            </w:r>
          </w:p>
        </w:tc>
      </w:tr>
      <w:tr w14:paraId="2B48D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79D439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13C031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总糖</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F9FB617">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169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94392F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咖啡因</w:t>
            </w:r>
          </w:p>
        </w:tc>
      </w:tr>
      <w:tr w14:paraId="5892D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AD5157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B5EECF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总酯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2A7BDA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25E125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水分</w:t>
            </w:r>
          </w:p>
        </w:tc>
      </w:tr>
      <w:tr w14:paraId="7EB45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D5C83B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3C7D21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丁基羟基茴香醚</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3EFA1A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514C60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S-氰戊菊酯</w:t>
            </w:r>
          </w:p>
        </w:tc>
      </w:tr>
      <w:tr w14:paraId="39EE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E1F554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445272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酸性橙Ⅱ</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906419A">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74CBE8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四环素</w:t>
            </w:r>
          </w:p>
        </w:tc>
      </w:tr>
      <w:tr w14:paraId="2DD9D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4AB67B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FBEB31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二丁基羟基甲苯（BHT）</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AECE95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98BDA4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联苯菊酯</w:t>
            </w:r>
          </w:p>
        </w:tc>
      </w:tr>
      <w:tr w14:paraId="3DB0E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024F7A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D04B99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玉米赤霉烯酮</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C1F1CEE">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C671A1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苏丹红</w:t>
            </w:r>
          </w:p>
        </w:tc>
      </w:tr>
      <w:tr w14:paraId="1F3C5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27611A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C36C69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二氧化硫</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E3EE07A">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ECCED8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灭多威</w:t>
            </w:r>
          </w:p>
        </w:tc>
      </w:tr>
      <w:tr w14:paraId="68C7D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D75F8E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83DB4F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脱氧雪腐镰刀菌烯酮</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987BAAA">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542597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酸价</w:t>
            </w:r>
          </w:p>
        </w:tc>
      </w:tr>
      <w:tr w14:paraId="5A4BC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1A4967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EEC3BD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二氧化硫残留量</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0C5E905">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3599F0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糖精钠</w:t>
            </w:r>
          </w:p>
        </w:tc>
      </w:tr>
      <w:tr w14:paraId="553CE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7A0E75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ECB399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氯氰菊酯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102801F">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C61A5B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三氯杀螨醇</w:t>
            </w:r>
          </w:p>
        </w:tc>
      </w:tr>
      <w:tr w14:paraId="1A6E8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E9BA17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C42411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二氧化钛</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E30B79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179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F30F71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特丁基对苯二酚</w:t>
            </w:r>
          </w:p>
        </w:tc>
      </w:tr>
      <w:tr w14:paraId="2D767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70B42D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4F8CCB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二氧化碳</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B655571">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EEED58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氧乐果</w:t>
            </w:r>
          </w:p>
        </w:tc>
      </w:tr>
      <w:tr w14:paraId="02E31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672ACF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BF648D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溴氰菊酯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4B5CBE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822762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甜蜜素</w:t>
            </w:r>
          </w:p>
        </w:tc>
      </w:tr>
      <w:tr w14:paraId="41387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707CD5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7F7F3D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泛酸</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F8A6FC3">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A25972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甲醛</w:t>
            </w:r>
          </w:p>
        </w:tc>
      </w:tr>
      <w:tr w14:paraId="0B48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B3FAB2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884AE8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溴酸钾</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EB31421">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263A1F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铜绿假单胞菌</w:t>
            </w:r>
          </w:p>
        </w:tc>
      </w:tr>
      <w:tr w14:paraId="1BB8C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E8A901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F413D9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非糖固形物</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0682DD3">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B393D9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土霉素</w:t>
            </w:r>
          </w:p>
        </w:tc>
      </w:tr>
      <w:tr w14:paraId="72BEB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0C0F26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C1E25D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赭曲霉毒素A</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64A8559">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8DB87D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脱氢乙酸</w:t>
            </w:r>
          </w:p>
        </w:tc>
      </w:tr>
      <w:tr w14:paraId="6A0FF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6DC0F3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EF1043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氟氰戊菊酯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44DF92E">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B1CCDA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维生素A</w:t>
            </w:r>
          </w:p>
        </w:tc>
      </w:tr>
      <w:tr w14:paraId="2FE09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8242F9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329A58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马拉硫磷</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35A6D14">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A051EE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维生素B1</w:t>
            </w:r>
          </w:p>
        </w:tc>
      </w:tr>
      <w:tr w14:paraId="0599E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123E93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1091F7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富马酸二甲酯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A7CD875">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163041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霉菌和酵母菌计数</w:t>
            </w:r>
          </w:p>
        </w:tc>
      </w:tr>
      <w:tr w14:paraId="27075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DDC6E5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30B0EB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多菌灵</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16905D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189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60B383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二甲硝咪唑/洛硝哒唑代谢物</w:t>
            </w:r>
          </w:p>
        </w:tc>
      </w:tr>
      <w:tr w14:paraId="47DBB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E5B866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E9F173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钙</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B7FD60F">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BD8F92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副溶血性弧菌</w:t>
            </w:r>
          </w:p>
        </w:tc>
      </w:tr>
      <w:tr w14:paraId="32A53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F96D58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5446F2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甲基毒死蜱</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1863506">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919F1C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维生素B2</w:t>
            </w:r>
          </w:p>
        </w:tc>
      </w:tr>
      <w:tr w14:paraId="79CD9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EFD2BF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05D670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甲萘威</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4692539">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C38748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挥发性盐基氮</w:t>
            </w:r>
          </w:p>
        </w:tc>
      </w:tr>
      <w:tr w14:paraId="08C12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582973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FBB769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干浸出物</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E6C86A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F59EAE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果糖和葡萄糖</w:t>
            </w:r>
          </w:p>
        </w:tc>
      </w:tr>
      <w:tr w14:paraId="575D3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F6CA8D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074689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镉</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217D4E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D0F102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蔗糖</w:t>
            </w:r>
          </w:p>
        </w:tc>
      </w:tr>
      <w:tr w14:paraId="7A724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CC489E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632377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溶剂残留量</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86D7003">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9A3EB7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特丁硫磷</w:t>
            </w:r>
          </w:p>
        </w:tc>
      </w:tr>
      <w:tr w14:paraId="4DCE7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AA0919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B7CCA7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铬</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43FFEE6">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7AE083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吡蚜酮</w:t>
            </w:r>
          </w:p>
        </w:tc>
      </w:tr>
      <w:tr w14:paraId="686A4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D0528D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BFA914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汞</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460B78F">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B2B6E8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苯甲酸盐</w:t>
            </w:r>
          </w:p>
        </w:tc>
      </w:tr>
      <w:tr w14:paraId="7EF73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13C990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ADAC20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谷氨酸钠</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B440B4D">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350AB6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酵母</w:t>
            </w:r>
          </w:p>
        </w:tc>
      </w:tr>
      <w:tr w14:paraId="3C298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CCE918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CC9DD9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钡（以Ba计）</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A8B1B2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199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645230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极性组分</w:t>
            </w:r>
          </w:p>
        </w:tc>
      </w:tr>
      <w:tr w14:paraId="5220C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F5B0E3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2860BB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过氧化苯甲酰</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FE8B3BD">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019F33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锡</w:t>
            </w:r>
          </w:p>
        </w:tc>
      </w:tr>
      <w:tr w14:paraId="078A4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A83459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5F6A1A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丙二醛</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67D56A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A4B24F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硝基呋喃代谢物（AMOZ、SEM、AHD、AOZ）</w:t>
            </w:r>
          </w:p>
        </w:tc>
      </w:tr>
      <w:tr w14:paraId="14E96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191979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4AD3C2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过氧化值</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AE2C405">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3580BD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过氧化氢</w:t>
            </w:r>
          </w:p>
        </w:tc>
      </w:tr>
      <w:tr w14:paraId="36A6B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F60B12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A7DEC9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还原糖分</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20BA38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BB8016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硝酸盐</w:t>
            </w:r>
          </w:p>
        </w:tc>
      </w:tr>
      <w:tr w14:paraId="4C901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E5DC22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E63DDC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铵盐</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88AA67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3CFA72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锌</w:t>
            </w:r>
          </w:p>
        </w:tc>
      </w:tr>
      <w:tr w14:paraId="33BD2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C9BC72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8C9032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合成着色剂（亮蓝、柠檬黄、日落黄、苋菜红、诱惑红、赤藓红、新红）</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463E2D6">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3EBF80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溴氰菊酯</w:t>
            </w:r>
          </w:p>
        </w:tc>
      </w:tr>
      <w:tr w14:paraId="00ACD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197264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9AEDC0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乙酰磺胺酸钾</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AEF8A48">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28EC98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砷</w:t>
            </w:r>
          </w:p>
        </w:tc>
      </w:tr>
      <w:tr w14:paraId="20CEF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81913B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4AED50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滑石粉</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ABCCBE8">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2FD242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亚硫酸盐（以二氧化硫计）</w:t>
            </w:r>
          </w:p>
        </w:tc>
      </w:tr>
      <w:tr w14:paraId="34CB4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CA6A0C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95B284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环己基氨基磺酸钠</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D7C53C7">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D8BD1B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洛硝哒唑</w:t>
            </w:r>
          </w:p>
        </w:tc>
      </w:tr>
      <w:tr w14:paraId="5938C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A72297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677D8A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黄曲霉毒素B1</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8BB491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209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D3961D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亚硝酸盐</w:t>
            </w:r>
          </w:p>
        </w:tc>
      </w:tr>
      <w:tr w14:paraId="54207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CEEA67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47EAC1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游离矿酸</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01BD437">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D05F40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氯化物</w:t>
            </w:r>
          </w:p>
        </w:tc>
      </w:tr>
      <w:tr w14:paraId="6F70D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4AA3BE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970060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黄曲霉毒素M1</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767DFE7">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A60EA5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克伦特罗</w:t>
            </w:r>
          </w:p>
        </w:tc>
      </w:tr>
      <w:tr w14:paraId="2E0CB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4FDF15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602568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碱性橙</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7892FB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C3C77E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氧乐果</w:t>
            </w:r>
          </w:p>
        </w:tc>
      </w:tr>
      <w:tr w14:paraId="0AAF6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EE7610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5B8E1F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己酸乙酯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0936CA4">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0B965B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阿维菌素</w:t>
            </w:r>
          </w:p>
        </w:tc>
      </w:tr>
      <w:tr w14:paraId="1A5EF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2E725E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55ACF8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抗氧化剂（BHA，BHT、TBHQ）</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3FE64F4">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DCECEC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丙溴磷</w:t>
            </w:r>
          </w:p>
        </w:tc>
      </w:tr>
      <w:tr w14:paraId="0A921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159D24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F601D3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三唑磷</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6096CC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040B9C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恩诺沙星</w:t>
            </w:r>
          </w:p>
        </w:tc>
      </w:tr>
      <w:tr w14:paraId="3C7DE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93AB39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D37B75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N-二甲基亚硝胺</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C2ADAB5">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6016DE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氟苯尼考</w:t>
            </w:r>
          </w:p>
        </w:tc>
      </w:tr>
      <w:tr w14:paraId="53677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7D4D2F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092D7E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甲醇</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3248AEE">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55240C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甲拌磷</w:t>
            </w:r>
          </w:p>
        </w:tc>
      </w:tr>
      <w:tr w14:paraId="4C872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7CD75B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2CA300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甲基对硫磷</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5FA17C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C99C84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联苯肼酯</w:t>
            </w:r>
          </w:p>
        </w:tc>
      </w:tr>
      <w:tr w14:paraId="158EF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C1B98C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30537B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单核细胞增生李斯特氏菌</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B2B3A2E">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219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E7B22D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苯醚甲环唑</w:t>
            </w:r>
          </w:p>
        </w:tc>
      </w:tr>
      <w:tr w14:paraId="02358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F52443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FF2387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甲醛</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4C8BA8F">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13EA45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杀扑磷</w:t>
            </w:r>
          </w:p>
        </w:tc>
      </w:tr>
      <w:tr w14:paraId="39940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9E7AE7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B900FA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大肠埃希氏菌</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8F1602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08C170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灭线磷</w:t>
            </w:r>
          </w:p>
        </w:tc>
      </w:tr>
      <w:tr w14:paraId="05FE7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BC1192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4D3172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甲醛次硫酸氢钠</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861880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97D8C6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洛美沙星</w:t>
            </w:r>
          </w:p>
        </w:tc>
      </w:tr>
      <w:tr w14:paraId="5E3F6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9A05E3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61F3FF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钾</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E1B6C2D">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CB7B7C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双甲脒</w:t>
            </w:r>
          </w:p>
        </w:tc>
      </w:tr>
      <w:tr w14:paraId="4B9F3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7386F1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AD0204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非脂乳固体</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E494744">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CE7BE2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氧氟沙星</w:t>
            </w:r>
          </w:p>
        </w:tc>
      </w:tr>
      <w:tr w14:paraId="20CA5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C58CD9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DEC87C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酵母菌</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B9CEA75">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5BB05D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诺氟沙星</w:t>
            </w:r>
          </w:p>
        </w:tc>
      </w:tr>
      <w:tr w14:paraId="0F7DD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B07B06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B75CD8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酸度</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5A1AB98">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7ED171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氯氟氰菊酯</w:t>
            </w:r>
          </w:p>
        </w:tc>
      </w:tr>
      <w:tr w14:paraId="21690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8A468B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5F15F5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金黄色葡萄球菌</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4C9D76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56E04E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啶虫脒</w:t>
            </w:r>
          </w:p>
        </w:tc>
      </w:tr>
      <w:tr w14:paraId="3FFC3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6C3CC0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E752F5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酒精度</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4665E09">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B01A3B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嘧霉胺</w:t>
            </w:r>
          </w:p>
        </w:tc>
      </w:tr>
      <w:tr w14:paraId="4CF7C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2D4BFA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2CC97B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菌落总数</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28372AE">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229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E2CE14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烯酰吗啉</w:t>
            </w:r>
          </w:p>
        </w:tc>
      </w:tr>
      <w:tr w14:paraId="26017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1A5D8C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721053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可待因</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02AD421">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8D5711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噻嗪酮</w:t>
            </w:r>
          </w:p>
        </w:tc>
      </w:tr>
      <w:tr w14:paraId="7B84D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F7BDE6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547C73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阿斯巴甜</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AC4BD7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7440FE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噻虫嗪</w:t>
            </w:r>
          </w:p>
        </w:tc>
      </w:tr>
      <w:tr w14:paraId="1F7E6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453A99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EAC508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克百威</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529E9E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EBC9D4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虫酰肼</w:t>
            </w:r>
          </w:p>
        </w:tc>
      </w:tr>
      <w:tr w14:paraId="1EA76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78ADE8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58998C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日落黄及其铝色淀</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40BB1F3">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1EAFD2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氯氟氰菊酯</w:t>
            </w:r>
          </w:p>
        </w:tc>
      </w:tr>
      <w:tr w14:paraId="44E78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751C34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35C58F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孔雀石绿及隐色孔雀石绿</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0FF5056">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B39B79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甲基异柳磷</w:t>
            </w:r>
          </w:p>
        </w:tc>
      </w:tr>
      <w:tr w14:paraId="4A50C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3C1C57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DD6CE2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胭脂红及其铝色淀</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9AD7655">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04F4F2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蚍虫啉</w:t>
            </w:r>
          </w:p>
        </w:tc>
      </w:tr>
      <w:tr w14:paraId="740FB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5D2D19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994ECE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莱克多巴胺</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711B2C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1E3BCE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嘧霉胺</w:t>
            </w:r>
          </w:p>
        </w:tc>
      </w:tr>
      <w:tr w14:paraId="2AEB7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6931E18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63EDCE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亮蓝及其铝色淀</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EDC1A2A">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941C4D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磺胺类</w:t>
            </w:r>
          </w:p>
        </w:tc>
      </w:tr>
      <w:tr w14:paraId="13B52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766397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728D16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硫酸盐</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EC29C5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B93229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马拉硫磷</w:t>
            </w:r>
          </w:p>
        </w:tc>
      </w:tr>
      <w:tr w14:paraId="695EA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5CA99C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C94F0B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柠檬黄及其铝色淀</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6E4C8DA">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239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27892C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氟胺氰菊酯</w:t>
            </w:r>
          </w:p>
        </w:tc>
      </w:tr>
      <w:tr w14:paraId="7036D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767EDD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0FB8BC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六六六</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9A75A49">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140F237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丙环唑</w:t>
            </w:r>
          </w:p>
        </w:tc>
      </w:tr>
      <w:tr w14:paraId="410F3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A12F9A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7B7C43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复原乳酸度</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557FEE4">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65FE63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那红地那非</w:t>
            </w:r>
          </w:p>
        </w:tc>
      </w:tr>
      <w:tr w14:paraId="3067E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081865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514ECF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罗丹明B</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C15E6E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539929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红地那非</w:t>
            </w:r>
          </w:p>
        </w:tc>
      </w:tr>
      <w:tr w14:paraId="037B0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803FEE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DB60E6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杂质度</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52F3D40">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594D98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西地那非</w:t>
            </w:r>
          </w:p>
        </w:tc>
      </w:tr>
      <w:tr w14:paraId="46573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15A333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58F0BA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铝</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741F8A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904726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地西泮</w:t>
            </w:r>
          </w:p>
        </w:tc>
      </w:tr>
      <w:tr w14:paraId="1FC7C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84866E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8C8CD0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总乳固体</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1EA9D57">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E98978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可溶性糖</w:t>
            </w:r>
          </w:p>
        </w:tc>
      </w:tr>
      <w:tr w14:paraId="266FE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F32FAF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E99531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铝</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B70ED61">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2314864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氨苯砜</w:t>
            </w:r>
          </w:p>
        </w:tc>
      </w:tr>
      <w:tr w14:paraId="44990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D4C024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B96306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纳他霉素</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AE7F281">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8352A8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羟基甲硝唑</w:t>
            </w:r>
          </w:p>
        </w:tc>
      </w:tr>
      <w:tr w14:paraId="692AC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4D7D56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D797D8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氯化物</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7F6923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9018FE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金刚烷胺</w:t>
            </w:r>
          </w:p>
        </w:tc>
      </w:tr>
      <w:tr w14:paraId="791FF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047165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A36224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氯菊酯</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6335643">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249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927B56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蛋白质</w:t>
            </w:r>
          </w:p>
        </w:tc>
      </w:tr>
      <w:tr w14:paraId="3E1C0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5660324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10C9B3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色度</w:t>
            </w:r>
          </w:p>
        </w:tc>
        <w:tc>
          <w:tcPr>
            <w:tcW w:w="69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A754837">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250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3726F4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脂肪</w:t>
            </w:r>
          </w:p>
        </w:tc>
      </w:tr>
      <w:tr w14:paraId="1D26E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377BCD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3D07C4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氯霉素</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3B54FE45">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8B4FAC8">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亚油酸</w:t>
            </w:r>
          </w:p>
        </w:tc>
      </w:tr>
      <w:tr w14:paraId="134F7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250C2CD">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09B422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浑浊度</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0AC024A3">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3EDFC9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钠</w:t>
            </w:r>
          </w:p>
        </w:tc>
      </w:tr>
      <w:tr w14:paraId="2BD2F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3106F5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24BD3F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界限指标-锂</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02E24B2A">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A8D40A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铁</w:t>
            </w:r>
          </w:p>
        </w:tc>
      </w:tr>
      <w:tr w14:paraId="6BE14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0C9DB9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216418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吗啡</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28B33894">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6235A2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硒</w:t>
            </w:r>
          </w:p>
        </w:tc>
      </w:tr>
      <w:tr w14:paraId="060B8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1EF1A62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12E75C1">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界限指标-锶</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695FEEE9">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43B270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镁</w:t>
            </w:r>
          </w:p>
        </w:tc>
      </w:tr>
      <w:tr w14:paraId="7C6FD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3C7E6CD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A16DF3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螨</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3686D904">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87F894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叶酸</w:t>
            </w:r>
          </w:p>
        </w:tc>
      </w:tr>
      <w:tr w14:paraId="003F7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FC2191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36720AA0">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界限指标-锌</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2DE726BA">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509E53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生物素</w:t>
            </w:r>
          </w:p>
        </w:tc>
      </w:tr>
      <w:tr w14:paraId="18C1B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1402ED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BA361D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没食子酸丙酯类</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2BB0D6EF">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F8276D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亚油酸</w:t>
            </w:r>
          </w:p>
        </w:tc>
      </w:tr>
      <w:tr w14:paraId="1E6E6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72C5457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C79A1BE">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界限指标-碘化物</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58ADB260">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259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27CD747">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α-亚麻酸</w:t>
            </w:r>
          </w:p>
        </w:tc>
      </w:tr>
      <w:tr w14:paraId="18447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4F4E62A">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17C7C9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霉菌</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1932B4E0">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3D7C01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三聚氰胺</w:t>
            </w:r>
          </w:p>
        </w:tc>
      </w:tr>
      <w:tr w14:paraId="2F465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4EC16AE4">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88C266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界限指标-偏硅酸</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1A61B680">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619BE36">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草甘膦</w:t>
            </w:r>
          </w:p>
        </w:tc>
      </w:tr>
      <w:tr w14:paraId="6FBD1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038A48B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003C582">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霉菌计数</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2A50AF64">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8BD3C9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烟酸</w:t>
            </w:r>
          </w:p>
        </w:tc>
      </w:tr>
      <w:tr w14:paraId="6C828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noWrap/>
            <w:vAlign w:val="center"/>
          </w:tcPr>
          <w:p w14:paraId="283DB4A3">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053C92C">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界限指标-硒</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46807071">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8585FAF">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香兰素</w:t>
            </w:r>
          </w:p>
        </w:tc>
      </w:tr>
      <w:tr w14:paraId="59035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165A5EA">
            <w:pPr>
              <w:widowControl/>
              <w:spacing w:line="520" w:lineRule="exact"/>
              <w:ind w:left="0" w:leftChars="0" w:firstLine="0" w:firstLineChars="0"/>
              <w:jc w:val="left"/>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126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80CE256">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多西环素</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7E937884">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F1AADA5">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甲氨基阿维菌素苯甲盐酸</w:t>
            </w:r>
          </w:p>
        </w:tc>
      </w:tr>
      <w:tr w14:paraId="6088E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65F1C82">
            <w:pPr>
              <w:widowControl/>
              <w:spacing w:line="520" w:lineRule="exact"/>
              <w:ind w:left="0" w:leftChars="0" w:firstLine="0" w:firstLineChars="0"/>
              <w:jc w:val="left"/>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127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1F9C9E55">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地塞米松</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178FB8E8">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57198806">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噻虫嗪</w:t>
            </w:r>
          </w:p>
        </w:tc>
      </w:tr>
      <w:tr w14:paraId="5DC17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C2E09B7">
            <w:pPr>
              <w:widowControl/>
              <w:spacing w:line="520" w:lineRule="exact"/>
              <w:ind w:left="0" w:leftChars="0" w:firstLine="0" w:firstLineChars="0"/>
              <w:jc w:val="left"/>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128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5F420A4C">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rPr>
              <w:t>甲氧芐啶</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50CC9C1E">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266</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D2DBE37">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倍硫磷</w:t>
            </w:r>
          </w:p>
        </w:tc>
      </w:tr>
      <w:tr w14:paraId="2C0D6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8437A45">
            <w:pPr>
              <w:widowControl/>
              <w:spacing w:line="520" w:lineRule="exact"/>
              <w:ind w:left="0" w:leftChars="0" w:firstLine="0" w:firstLineChars="0"/>
              <w:jc w:val="left"/>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129</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4352B19">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噻虫胺</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2B7318DB">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267</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CD519CA">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灭蝇</w:t>
            </w:r>
            <w:r>
              <w:rPr>
                <w:rFonts w:hint="eastAsia" w:ascii="宋体" w:hAnsi="宋体" w:eastAsia="宋体" w:cs="宋体"/>
                <w:color w:val="000000"/>
                <w:kern w:val="0"/>
                <w:sz w:val="24"/>
                <w:szCs w:val="24"/>
                <w:highlight w:val="none"/>
              </w:rPr>
              <w:t>胺</w:t>
            </w:r>
          </w:p>
        </w:tc>
      </w:tr>
      <w:tr w14:paraId="35631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673A532">
            <w:pPr>
              <w:widowControl/>
              <w:spacing w:line="520" w:lineRule="exact"/>
              <w:ind w:left="0" w:leftChars="0" w:firstLine="0" w:firstLineChars="0"/>
              <w:jc w:val="left"/>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130</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3DF768D">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吡唑醚菌酯</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011DE647">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268</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37993E27">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乙烯甲胺磷</w:t>
            </w:r>
          </w:p>
        </w:tc>
      </w:tr>
      <w:tr w14:paraId="6102A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2906908">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131</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93CC90B">
            <w:pPr>
              <w:widowControl/>
              <w:spacing w:line="520" w:lineRule="exact"/>
              <w:ind w:left="0" w:firstLine="0" w:firstLineChars="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氟虫氰</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6A1D6924">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269</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582C873">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咪鲜胺和咪鲜胺锰盐</w:t>
            </w:r>
          </w:p>
        </w:tc>
      </w:tr>
      <w:tr w14:paraId="654C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81A3641">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132</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FB6D839">
            <w:pPr>
              <w:widowControl/>
              <w:spacing w:line="520" w:lineRule="exact"/>
              <w:ind w:left="0" w:firstLine="0" w:firstLineChars="0"/>
              <w:jc w:val="left"/>
              <w:rPr>
                <w:rFonts w:hint="eastAsia" w:ascii="宋体" w:hAnsi="宋体" w:eastAsia="宋体" w:cs="宋体"/>
                <w:color w:val="000000"/>
                <w:kern w:val="0"/>
                <w:sz w:val="24"/>
                <w:szCs w:val="24"/>
                <w:highlight w:val="none"/>
                <w:vertAlign w:val="superscript"/>
                <w:lang w:val="en-US" w:eastAsia="zh-CN"/>
              </w:rPr>
            </w:pPr>
            <w:r>
              <w:rPr>
                <w:rFonts w:hint="eastAsia" w:ascii="宋体" w:hAnsi="宋体" w:eastAsia="宋体" w:cs="宋体"/>
                <w:color w:val="000000"/>
                <w:kern w:val="0"/>
                <w:sz w:val="24"/>
                <w:szCs w:val="24"/>
                <w:highlight w:val="none"/>
                <w:lang w:val="en-US" w:eastAsia="zh-CN"/>
              </w:rPr>
              <w:t>涕灭威</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3FDD84D7">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270</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F1C6883">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戊唑醇</w:t>
            </w:r>
          </w:p>
        </w:tc>
      </w:tr>
      <w:tr w14:paraId="077F8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A42FB52">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133</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60821067">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辛硫磷</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3AE1815A">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271</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6DEBCF20">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腈菌唑</w:t>
            </w:r>
          </w:p>
        </w:tc>
      </w:tr>
      <w:tr w14:paraId="66C2E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51503EC">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134</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706076FD">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哒螨灵</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398C27D0">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272</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C6114CB">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呋喃唑酮代谢物</w:t>
            </w:r>
          </w:p>
        </w:tc>
      </w:tr>
      <w:tr w14:paraId="203BE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A1DB2B4">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135</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26BDFAD5">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金霉素</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3A00A478">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273</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7D41EB18">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氯唑磷</w:t>
            </w:r>
          </w:p>
        </w:tc>
      </w:tr>
      <w:tr w14:paraId="12B76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C103E16">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136</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2DC6767">
            <w:pPr>
              <w:widowControl/>
              <w:spacing w:line="520" w:lineRule="exact"/>
              <w:ind w:left="0" w:firstLine="0" w:firstLineChars="0"/>
              <w:jc w:val="left"/>
              <w:rPr>
                <w:rFonts w:hint="eastAsia" w:ascii="宋体" w:hAnsi="宋体" w:eastAsia="宋体" w:cs="宋体"/>
                <w:color w:val="000000"/>
                <w:kern w:val="0"/>
                <w:sz w:val="24"/>
                <w:szCs w:val="24"/>
                <w:highlight w:val="none"/>
                <w:vertAlign w:val="superscript"/>
                <w:lang w:val="en-US" w:eastAsia="zh-CN"/>
              </w:rPr>
            </w:pPr>
            <w:r>
              <w:rPr>
                <w:rFonts w:hint="eastAsia" w:ascii="宋体" w:hAnsi="宋体" w:eastAsia="宋体" w:cs="宋体"/>
                <w:color w:val="000000"/>
                <w:kern w:val="0"/>
                <w:sz w:val="24"/>
                <w:szCs w:val="24"/>
                <w:highlight w:val="none"/>
                <w:vertAlign w:val="baseline"/>
                <w:lang w:val="en-US" w:eastAsia="zh-CN"/>
              </w:rPr>
              <w:t>氰霜唑</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7A8166BE">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274</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4B79D3B2">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除虫脲</w:t>
            </w:r>
          </w:p>
        </w:tc>
      </w:tr>
      <w:tr w14:paraId="7A8F3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98C7C6B">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137</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0B4DBBEA">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default" w:ascii="宋体" w:hAnsi="宋体" w:eastAsia="宋体" w:cs="宋体"/>
                <w:color w:val="000000"/>
                <w:kern w:val="0"/>
                <w:sz w:val="24"/>
                <w:szCs w:val="24"/>
                <w:highlight w:val="none"/>
                <w:lang w:val="en-US" w:eastAsia="zh-CN"/>
              </w:rPr>
              <w:t>吡虫啉</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0E8EE67A">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275</w:t>
            </w: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2EE15D6">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乙螨唑</w:t>
            </w:r>
          </w:p>
        </w:tc>
      </w:tr>
      <w:tr w14:paraId="7452C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816"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BAED413">
            <w:pPr>
              <w:widowControl/>
              <w:spacing w:line="520" w:lineRule="exact"/>
              <w:ind w:left="0" w:leftChars="0" w:firstLine="0" w:firstLineChars="0"/>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138</w:t>
            </w:r>
          </w:p>
        </w:tc>
        <w:tc>
          <w:tcPr>
            <w:tcW w:w="3513" w:type="dxa"/>
            <w:tcBorders>
              <w:top w:val="single" w:color="auto" w:sz="6" w:space="0"/>
              <w:left w:val="single" w:color="auto" w:sz="6" w:space="0"/>
              <w:bottom w:val="single" w:color="auto" w:sz="6" w:space="0"/>
              <w:right w:val="single" w:color="auto" w:sz="6" w:space="0"/>
              <w:tl2br w:val="nil"/>
              <w:tr2bl w:val="nil"/>
            </w:tcBorders>
            <w:noWrap/>
            <w:vAlign w:val="center"/>
          </w:tcPr>
          <w:p w14:paraId="4BDA05BE">
            <w:pPr>
              <w:widowControl/>
              <w:spacing w:line="520" w:lineRule="exact"/>
              <w:ind w:left="0" w:firstLine="0" w:firstLineChars="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托曲珠利</w:t>
            </w:r>
          </w:p>
        </w:tc>
        <w:tc>
          <w:tcPr>
            <w:tcW w:w="696" w:type="dxa"/>
            <w:tcBorders>
              <w:top w:val="single" w:color="auto" w:sz="6" w:space="0"/>
              <w:left w:val="single" w:color="auto" w:sz="6" w:space="0"/>
              <w:bottom w:val="single" w:color="auto" w:sz="6" w:space="0"/>
              <w:right w:val="single" w:color="auto" w:sz="6" w:space="0"/>
              <w:tl2br w:val="nil"/>
              <w:tr2bl w:val="nil"/>
            </w:tcBorders>
            <w:noWrap/>
            <w:vAlign w:val="center"/>
          </w:tcPr>
          <w:p w14:paraId="239716F0">
            <w:pPr>
              <w:widowControl/>
              <w:spacing w:line="520" w:lineRule="exact"/>
              <w:ind w:left="0" w:firstLine="0" w:firstLineChars="0"/>
              <w:jc w:val="left"/>
              <w:rPr>
                <w:rFonts w:hint="eastAsia" w:ascii="宋体" w:hAnsi="宋体" w:eastAsia="宋体" w:cs="宋体"/>
                <w:color w:val="000000"/>
                <w:kern w:val="0"/>
                <w:sz w:val="24"/>
                <w:szCs w:val="24"/>
                <w:highlight w:val="none"/>
              </w:rPr>
            </w:pPr>
          </w:p>
        </w:tc>
        <w:tc>
          <w:tcPr>
            <w:tcW w:w="3489" w:type="dxa"/>
            <w:tcBorders>
              <w:top w:val="single" w:color="auto" w:sz="6" w:space="0"/>
              <w:left w:val="single" w:color="auto" w:sz="6" w:space="0"/>
              <w:bottom w:val="single" w:color="auto" w:sz="6" w:space="0"/>
              <w:right w:val="single" w:color="auto" w:sz="6" w:space="0"/>
              <w:tl2br w:val="nil"/>
              <w:tr2bl w:val="nil"/>
            </w:tcBorders>
            <w:noWrap/>
            <w:vAlign w:val="center"/>
          </w:tcPr>
          <w:p w14:paraId="032C9F9B">
            <w:pPr>
              <w:widowControl/>
              <w:spacing w:line="520" w:lineRule="exact"/>
              <w:ind w:left="0" w:firstLine="0" w:firstLineChars="0"/>
              <w:jc w:val="left"/>
              <w:rPr>
                <w:rFonts w:hint="eastAsia" w:ascii="宋体" w:hAnsi="宋体" w:eastAsia="宋体" w:cs="宋体"/>
                <w:color w:val="000000"/>
                <w:kern w:val="0"/>
                <w:sz w:val="24"/>
                <w:szCs w:val="24"/>
                <w:highlight w:val="none"/>
                <w:lang w:val="en-US" w:eastAsia="zh-CN"/>
              </w:rPr>
            </w:pPr>
          </w:p>
        </w:tc>
      </w:tr>
    </w:tbl>
    <w:p w14:paraId="0558D31D">
      <w:pPr>
        <w:widowControl/>
        <w:spacing w:before="48" w:beforeLines="20" w:after="48" w:afterLines="20"/>
        <w:jc w:val="center"/>
        <w:rPr>
          <w:rFonts w:hint="eastAsia" w:ascii="宋体" w:hAnsi="宋体" w:eastAsia="宋体" w:cs="宋体"/>
          <w:b/>
          <w:bCs/>
          <w:color w:val="000000"/>
          <w:kern w:val="0"/>
          <w:sz w:val="24"/>
          <w:szCs w:val="24"/>
          <w:highlight w:val="none"/>
          <w:lang w:val="en-US" w:eastAsia="zh-CN"/>
        </w:rPr>
      </w:pPr>
      <w:r>
        <w:rPr>
          <w:rFonts w:hint="eastAsia" w:ascii="宋体" w:hAnsi="宋体" w:eastAsia="宋体" w:cs="宋体"/>
          <w:b/>
          <w:bCs/>
          <w:color w:val="000000"/>
          <w:kern w:val="0"/>
          <w:sz w:val="24"/>
          <w:szCs w:val="24"/>
          <w:highlight w:val="none"/>
          <w:lang w:val="en-US" w:eastAsia="zh-CN"/>
        </w:rPr>
        <w:t>快检检测项目表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6"/>
        <w:gridCol w:w="1607"/>
        <w:gridCol w:w="6389"/>
      </w:tblGrid>
      <w:tr w14:paraId="6B5B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0" w:type="auto"/>
            <w:tcBorders>
              <w:tl2br w:val="nil"/>
              <w:tr2bl w:val="nil"/>
            </w:tcBorders>
            <w:noWrap w:val="0"/>
            <w:vAlign w:val="center"/>
          </w:tcPr>
          <w:p w14:paraId="12C0C78D">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607" w:type="dxa"/>
            <w:tcBorders>
              <w:tl2br w:val="nil"/>
              <w:tr2bl w:val="nil"/>
            </w:tcBorders>
            <w:noWrap w:val="0"/>
            <w:vAlign w:val="center"/>
          </w:tcPr>
          <w:p w14:paraId="417D293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食品类别</w:t>
            </w:r>
          </w:p>
        </w:tc>
        <w:tc>
          <w:tcPr>
            <w:tcW w:w="6389" w:type="dxa"/>
            <w:tcBorders>
              <w:tl2br w:val="nil"/>
              <w:tr2bl w:val="nil"/>
            </w:tcBorders>
            <w:noWrap w:val="0"/>
            <w:vAlign w:val="center"/>
          </w:tcPr>
          <w:p w14:paraId="35FE4F5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快检项目</w:t>
            </w:r>
          </w:p>
        </w:tc>
      </w:tr>
      <w:tr w14:paraId="7BB0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tcBorders>
              <w:tl2br w:val="nil"/>
              <w:tr2bl w:val="nil"/>
            </w:tcBorders>
            <w:noWrap w:val="0"/>
            <w:vAlign w:val="center"/>
          </w:tcPr>
          <w:p w14:paraId="34F868F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607" w:type="dxa"/>
            <w:tcBorders>
              <w:tl2br w:val="nil"/>
              <w:tr2bl w:val="nil"/>
            </w:tcBorders>
            <w:noWrap w:val="0"/>
            <w:vAlign w:val="center"/>
          </w:tcPr>
          <w:p w14:paraId="3CBA805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蔬菜</w:t>
            </w:r>
          </w:p>
        </w:tc>
        <w:tc>
          <w:tcPr>
            <w:tcW w:w="6389" w:type="dxa"/>
            <w:tcBorders>
              <w:tl2br w:val="nil"/>
              <w:tr2bl w:val="nil"/>
            </w:tcBorders>
            <w:noWrap w:val="0"/>
            <w:vAlign w:val="center"/>
          </w:tcPr>
          <w:p w14:paraId="290292F5">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氧乐果、甲基对硫磷、克百威等</w:t>
            </w:r>
          </w:p>
        </w:tc>
      </w:tr>
      <w:tr w14:paraId="1232E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tcBorders>
              <w:tl2br w:val="nil"/>
              <w:tr2bl w:val="nil"/>
            </w:tcBorders>
            <w:noWrap w:val="0"/>
            <w:vAlign w:val="center"/>
          </w:tcPr>
          <w:p w14:paraId="6BADF30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607" w:type="dxa"/>
            <w:tcBorders>
              <w:tl2br w:val="nil"/>
              <w:tr2bl w:val="nil"/>
            </w:tcBorders>
            <w:noWrap w:val="0"/>
            <w:vAlign w:val="center"/>
          </w:tcPr>
          <w:p w14:paraId="5BF2D9C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水果</w:t>
            </w:r>
          </w:p>
        </w:tc>
        <w:tc>
          <w:tcPr>
            <w:tcW w:w="6389" w:type="dxa"/>
            <w:tcBorders>
              <w:tl2br w:val="nil"/>
              <w:tr2bl w:val="nil"/>
            </w:tcBorders>
            <w:noWrap w:val="0"/>
            <w:vAlign w:val="center"/>
          </w:tcPr>
          <w:p w14:paraId="4400E754">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氧乐果、甲基对硫磷、乙酰甲胺磷等</w:t>
            </w:r>
          </w:p>
        </w:tc>
      </w:tr>
      <w:tr w14:paraId="3495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tcBorders>
              <w:tl2br w:val="nil"/>
              <w:tr2bl w:val="nil"/>
            </w:tcBorders>
            <w:noWrap w:val="0"/>
            <w:vAlign w:val="center"/>
          </w:tcPr>
          <w:p w14:paraId="760ABF25">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607" w:type="dxa"/>
            <w:tcBorders>
              <w:tl2br w:val="nil"/>
              <w:tr2bl w:val="nil"/>
            </w:tcBorders>
            <w:noWrap w:val="0"/>
            <w:vAlign w:val="center"/>
          </w:tcPr>
          <w:p w14:paraId="4316566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畜肉类</w:t>
            </w:r>
          </w:p>
        </w:tc>
        <w:tc>
          <w:tcPr>
            <w:tcW w:w="6389" w:type="dxa"/>
            <w:tcBorders>
              <w:tl2br w:val="nil"/>
              <w:tr2bl w:val="nil"/>
            </w:tcBorders>
            <w:noWrap w:val="0"/>
            <w:vAlign w:val="center"/>
          </w:tcPr>
          <w:p w14:paraId="4674234D">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克伦特罗、莱克多巴胺、沙丁胺醇等</w:t>
            </w:r>
          </w:p>
        </w:tc>
      </w:tr>
      <w:tr w14:paraId="7C13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tcBorders>
              <w:tl2br w:val="nil"/>
              <w:tr2bl w:val="nil"/>
            </w:tcBorders>
            <w:noWrap w:val="0"/>
            <w:vAlign w:val="center"/>
          </w:tcPr>
          <w:p w14:paraId="59C8D0B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607" w:type="dxa"/>
            <w:tcBorders>
              <w:tl2br w:val="nil"/>
              <w:tr2bl w:val="nil"/>
            </w:tcBorders>
            <w:noWrap w:val="0"/>
            <w:vAlign w:val="center"/>
          </w:tcPr>
          <w:p w14:paraId="411E95D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禽肉类</w:t>
            </w:r>
          </w:p>
        </w:tc>
        <w:tc>
          <w:tcPr>
            <w:tcW w:w="6389" w:type="dxa"/>
            <w:tcBorders>
              <w:tl2br w:val="nil"/>
              <w:tr2bl w:val="nil"/>
            </w:tcBorders>
            <w:noWrap w:val="0"/>
            <w:vAlign w:val="center"/>
          </w:tcPr>
          <w:p w14:paraId="38155307">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硝基呋喃代谢物（AMOZ、SEM、AHD、AOZ）、四环素、土霉素等</w:t>
            </w:r>
          </w:p>
        </w:tc>
      </w:tr>
      <w:tr w14:paraId="20BA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tcBorders>
              <w:tl2br w:val="nil"/>
              <w:tr2bl w:val="nil"/>
            </w:tcBorders>
            <w:noWrap w:val="0"/>
            <w:vAlign w:val="center"/>
          </w:tcPr>
          <w:p w14:paraId="6BC63BD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607" w:type="dxa"/>
            <w:tcBorders>
              <w:tl2br w:val="nil"/>
              <w:tr2bl w:val="nil"/>
            </w:tcBorders>
            <w:noWrap w:val="0"/>
            <w:vAlign w:val="center"/>
          </w:tcPr>
          <w:p w14:paraId="6240E53B">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水产品</w:t>
            </w:r>
          </w:p>
        </w:tc>
        <w:tc>
          <w:tcPr>
            <w:tcW w:w="6389" w:type="dxa"/>
            <w:tcBorders>
              <w:tl2br w:val="nil"/>
              <w:tr2bl w:val="nil"/>
            </w:tcBorders>
            <w:noWrap w:val="0"/>
            <w:vAlign w:val="center"/>
          </w:tcPr>
          <w:p w14:paraId="53920252">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孔雀石绿、氯霉素、硝基呋喃类代谢物、喹诺酮类、磺胺类等</w:t>
            </w:r>
          </w:p>
        </w:tc>
      </w:tr>
      <w:tr w14:paraId="6747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tcBorders>
              <w:tl2br w:val="nil"/>
              <w:tr2bl w:val="nil"/>
            </w:tcBorders>
            <w:noWrap w:val="0"/>
            <w:vAlign w:val="center"/>
          </w:tcPr>
          <w:p w14:paraId="4A0186A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607" w:type="dxa"/>
            <w:tcBorders>
              <w:tl2br w:val="nil"/>
              <w:tr2bl w:val="nil"/>
            </w:tcBorders>
            <w:noWrap w:val="0"/>
            <w:vAlign w:val="center"/>
          </w:tcPr>
          <w:p w14:paraId="2C4211F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豆芽</w:t>
            </w:r>
          </w:p>
        </w:tc>
        <w:tc>
          <w:tcPr>
            <w:tcW w:w="6389" w:type="dxa"/>
            <w:tcBorders>
              <w:tl2br w:val="nil"/>
              <w:tr2bl w:val="nil"/>
            </w:tcBorders>
            <w:noWrap w:val="0"/>
            <w:vAlign w:val="center"/>
          </w:tcPr>
          <w:p w14:paraId="197E3A20">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6-苄基腺嘌呤、4-氯苯氧乙酸钠、赤霉素等</w:t>
            </w:r>
          </w:p>
        </w:tc>
      </w:tr>
      <w:tr w14:paraId="05E7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0" w:type="auto"/>
            <w:tcBorders>
              <w:tl2br w:val="nil"/>
              <w:tr2bl w:val="nil"/>
            </w:tcBorders>
            <w:noWrap w:val="0"/>
            <w:vAlign w:val="center"/>
          </w:tcPr>
          <w:p w14:paraId="6A91061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607" w:type="dxa"/>
            <w:tcBorders>
              <w:tl2br w:val="nil"/>
              <w:tr2bl w:val="nil"/>
            </w:tcBorders>
            <w:noWrap w:val="0"/>
            <w:vAlign w:val="center"/>
          </w:tcPr>
          <w:p w14:paraId="1DF61F1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禽蛋类</w:t>
            </w:r>
          </w:p>
        </w:tc>
        <w:tc>
          <w:tcPr>
            <w:tcW w:w="6389" w:type="dxa"/>
            <w:tcBorders>
              <w:tl2br w:val="nil"/>
              <w:tr2bl w:val="nil"/>
            </w:tcBorders>
            <w:noWrap w:val="0"/>
            <w:vAlign w:val="center"/>
          </w:tcPr>
          <w:p w14:paraId="30E70666">
            <w:pPr>
              <w:keepNext w:val="0"/>
              <w:keepLines w:val="0"/>
              <w:widowControl/>
              <w:suppressLineNumbers w:val="0"/>
              <w:spacing w:line="360" w:lineRule="auto"/>
              <w:jc w:val="left"/>
              <w:textAlignment w:val="center"/>
              <w:rPr>
                <w:rFonts w:hint="default" w:ascii="宋体" w:hAnsi="宋体" w:eastAsia="宋体" w:cs="宋体"/>
                <w:i w:val="0"/>
                <w:iCs w:val="0"/>
                <w:color w:val="000000"/>
                <w:kern w:val="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苏丹红等a</w:t>
            </w:r>
          </w:p>
        </w:tc>
      </w:tr>
      <w:tr w14:paraId="54070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tcBorders>
              <w:tl2br w:val="nil"/>
              <w:tr2bl w:val="nil"/>
            </w:tcBorders>
            <w:noWrap w:val="0"/>
            <w:vAlign w:val="center"/>
          </w:tcPr>
          <w:p w14:paraId="1E61701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607" w:type="dxa"/>
            <w:tcBorders>
              <w:tl2br w:val="nil"/>
              <w:tr2bl w:val="nil"/>
            </w:tcBorders>
            <w:noWrap w:val="0"/>
            <w:vAlign w:val="center"/>
          </w:tcPr>
          <w:p w14:paraId="6A5FA66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菌类</w:t>
            </w:r>
          </w:p>
        </w:tc>
        <w:tc>
          <w:tcPr>
            <w:tcW w:w="6389" w:type="dxa"/>
            <w:tcBorders>
              <w:tl2br w:val="nil"/>
              <w:tr2bl w:val="nil"/>
            </w:tcBorders>
            <w:noWrap w:val="0"/>
            <w:vAlign w:val="center"/>
          </w:tcPr>
          <w:p w14:paraId="2C739074">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荧光增白剂、百菌清等</w:t>
            </w:r>
          </w:p>
        </w:tc>
      </w:tr>
      <w:tr w14:paraId="5701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tcBorders>
              <w:tl2br w:val="nil"/>
              <w:tr2bl w:val="nil"/>
            </w:tcBorders>
            <w:noWrap w:val="0"/>
            <w:vAlign w:val="center"/>
          </w:tcPr>
          <w:p w14:paraId="0F42663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1607" w:type="dxa"/>
            <w:tcBorders>
              <w:tl2br w:val="nil"/>
              <w:tr2bl w:val="nil"/>
            </w:tcBorders>
            <w:noWrap w:val="0"/>
            <w:vAlign w:val="center"/>
          </w:tcPr>
          <w:p w14:paraId="3D7D469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水发产品</w:t>
            </w:r>
          </w:p>
        </w:tc>
        <w:tc>
          <w:tcPr>
            <w:tcW w:w="6389" w:type="dxa"/>
            <w:tcBorders>
              <w:tl2br w:val="nil"/>
              <w:tr2bl w:val="nil"/>
            </w:tcBorders>
            <w:noWrap w:val="0"/>
            <w:vAlign w:val="center"/>
          </w:tcPr>
          <w:p w14:paraId="34B2B1D5">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甲醛、过氧化氢、工业碱等</w:t>
            </w:r>
          </w:p>
        </w:tc>
      </w:tr>
    </w:tbl>
    <w:p w14:paraId="47ED7776">
      <w:pPr>
        <w:spacing w:line="300" w:lineRule="auto"/>
        <w:ind w:firstLine="602"/>
        <w:rPr>
          <w:rFonts w:hint="eastAsia" w:ascii="宋体" w:hAnsi="宋体" w:eastAsia="宋体" w:cs="宋体"/>
          <w:sz w:val="20"/>
          <w:szCs w:val="24"/>
          <w:highlight w:val="none"/>
          <w:lang w:val="en-US" w:eastAsia="zh-CN" w:bidi="ar-SA"/>
        </w:rPr>
      </w:pPr>
    </w:p>
    <w:p w14:paraId="76DFA8A9">
      <w:pPr>
        <w:widowControl/>
        <w:jc w:val="left"/>
        <w:rPr>
          <w:rFonts w:hint="eastAsia" w:ascii="宋体" w:hAnsi="宋体" w:eastAsia="宋体" w:cs="宋体"/>
          <w:kern w:val="0"/>
          <w:sz w:val="24"/>
          <w:szCs w:val="24"/>
          <w:highlight w:val="none"/>
        </w:rPr>
      </w:pPr>
      <w:r>
        <w:rPr>
          <w:rFonts w:hint="eastAsia" w:ascii="宋体" w:hAnsi="宋体" w:eastAsia="宋体" w:cs="宋体"/>
          <w:b/>
          <w:bCs/>
          <w:color w:val="000000"/>
          <w:kern w:val="0"/>
          <w:sz w:val="24"/>
          <w:szCs w:val="24"/>
          <w:highlight w:val="none"/>
          <w:lang w:val="en-US" w:eastAsia="zh-CN"/>
        </w:rPr>
        <w:t>备注：采购要求未涉及的抽检品目、检验项目可根据采购人实际情况予以增补。</w:t>
      </w:r>
    </w:p>
    <w:p w14:paraId="1EE6C162">
      <w:pPr>
        <w:numPr>
          <w:ilvl w:val="0"/>
          <w:numId w:val="0"/>
        </w:numPr>
        <w:spacing w:line="360" w:lineRule="auto"/>
        <w:ind w:left="426" w:leftChars="0"/>
        <w:outlineLvl w:val="1"/>
        <w:rPr>
          <w:rFonts w:hint="eastAsia" w:ascii="宋体" w:hAnsi="宋体" w:eastAsia="宋体" w:cs="宋体"/>
          <w:b w:val="0"/>
          <w:color w:val="auto"/>
          <w:kern w:val="2"/>
          <w:sz w:val="24"/>
          <w:szCs w:val="24"/>
          <w:highlight w:val="none"/>
          <w:lang w:val="en-US" w:eastAsia="zh-CN" w:bidi="ar-SA"/>
        </w:rPr>
      </w:pPr>
    </w:p>
    <w:p w14:paraId="296A6D7F">
      <w:pPr>
        <w:numPr>
          <w:ilvl w:val="0"/>
          <w:numId w:val="0"/>
        </w:numPr>
        <w:spacing w:line="360" w:lineRule="auto"/>
        <w:ind w:left="426" w:leftChars="0"/>
        <w:outlineLvl w:val="1"/>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第二条技术要求</w:t>
      </w:r>
    </w:p>
    <w:p w14:paraId="22C5BC84">
      <w:pPr>
        <w:widowControl/>
        <w:spacing w:line="360" w:lineRule="auto"/>
        <w:ind w:firstLine="482" w:firstLineChars="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抽检检测技术要求</w:t>
      </w:r>
    </w:p>
    <w:p w14:paraId="435CDB8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1.能提供高效、专业的抽检服务，能接受抽样工作委托；</w:t>
      </w:r>
    </w:p>
    <w:p w14:paraId="2F5C8CF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2.供应商设有专门团队，负责全程配合采样工作；供应商须具备满足采样、运输、检验等各项相关工作的能力，并在人员、车辆、设备等硬件条件上，也完全有能力支撑采样、运输、检验等工作的顺利开展；</w:t>
      </w:r>
    </w:p>
    <w:p w14:paraId="15D186E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3.本次采购活动已包含保障抽检工作顺利进行的所有花费，具体包括抽检样品的购置费用、运输费用、存储费用、检测费用，以及成果文件的编制费用等，所有相关费用均包含在本次采购活动中，不再单独另行结算；</w:t>
      </w:r>
    </w:p>
    <w:p w14:paraId="133873D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4.抽检样品必须在当天进入食品检测实验室，以确保样品检测报告的准确性；</w:t>
      </w:r>
    </w:p>
    <w:p w14:paraId="33EBD1D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5.若投标单位的符合率未达到100%时，应承诺其余参数在服务合同签订后三个月内完成扩项。本次抽检问题发现率不得低于3%；</w:t>
      </w:r>
    </w:p>
    <w:p w14:paraId="2C954E6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6.能够熟练运用各级抽检系统，及时准确地录入抽检、检验信息，辅助区市场监管局完成统计报表、信息公示等工作；</w:t>
      </w:r>
    </w:p>
    <w:p w14:paraId="4CD4D4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7.不得将检验任务外包或分包给其他检测机构检验；</w:t>
      </w:r>
    </w:p>
    <w:p w14:paraId="6EB4069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8.若投标人出具虚假、错误检验数据和结论，一经发现，立即取消合作资格；</w:t>
      </w:r>
    </w:p>
    <w:p w14:paraId="55D5D1A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9.须提供相关的业务咨询、报告分析等服务；</w:t>
      </w:r>
    </w:p>
    <w:p w14:paraId="2C2CAC1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10.进度要求：检验机构收到检品后15个工作日出具检验报告。对于特殊、涉案样品的检验，3天出结果，7天出报告；</w:t>
      </w:r>
    </w:p>
    <w:p w14:paraId="229B01D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11.有完善的绿色通道及投诉受理机制，能够对委托检验人提出的异议做出有效回应；</w:t>
      </w:r>
    </w:p>
    <w:p w14:paraId="59AC356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12.有用于食品低温储存的自建冷库；</w:t>
      </w:r>
    </w:p>
    <w:p w14:paraId="4516A86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13.对于“突发应急”任务的食品安全监督抽检，具有动物源、植物源等成分检测能力；</w:t>
      </w:r>
    </w:p>
    <w:p w14:paraId="4F7720A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14.成果交付要求：出具检测报告；</w:t>
      </w:r>
    </w:p>
    <w:p w14:paraId="47AB0F3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15.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14:paraId="2FD65355">
      <w:pPr>
        <w:widowControl/>
        <w:spacing w:line="360" w:lineRule="auto"/>
        <w:ind w:firstLine="482" w:firstLineChars="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快检检测技术要求</w:t>
      </w:r>
    </w:p>
    <w:p w14:paraId="7DEFB8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1.检测完成后由检测机构及人员现场向单位按照《陕西省食用农产品市场销售质量安全快速检测工作规范》并出具《食用农产品快速检测单》。</w:t>
      </w:r>
    </w:p>
    <w:p w14:paraId="490DB5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2.按照“现场采样，即时检测”的原则，快检机构在单位现场采样、检测出具结果，对于检测时间长、不便于现场检测的项目须经采购人同意后，方可将样品送至食品安全检测室进行检测，对于检测出的问题食品或疑似问题食品，由检测人员现场进行拍照封存，经采购人同意后，将问题食品送至检验室进一步检测，复检不再采取快检方法，并出具相关报告送至采购人处。</w:t>
      </w:r>
    </w:p>
    <w:p w14:paraId="6EBCEC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3.服务质量：达到《陕西省食用农产品市场销售质量安全快速检测工作规范》。</w:t>
      </w:r>
    </w:p>
    <w:p w14:paraId="399331E0">
      <w:pPr>
        <w:numPr>
          <w:ilvl w:val="0"/>
          <w:numId w:val="0"/>
        </w:numPr>
        <w:spacing w:line="360" w:lineRule="auto"/>
        <w:ind w:left="426" w:leftChars="0"/>
        <w:outlineLvl w:val="1"/>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4.检测地点：采购人指定地点。</w:t>
      </w:r>
    </w:p>
    <w:p w14:paraId="6C53149D">
      <w:pPr>
        <w:numPr>
          <w:ilvl w:val="0"/>
          <w:numId w:val="0"/>
        </w:numPr>
        <w:spacing w:line="360" w:lineRule="auto"/>
        <w:ind w:left="426" w:leftChars="0"/>
        <w:outlineLvl w:val="1"/>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第三条服务期</w:t>
      </w:r>
    </w:p>
    <w:p w14:paraId="5666C105">
      <w:pPr>
        <w:numPr>
          <w:ilvl w:val="0"/>
          <w:numId w:val="0"/>
        </w:numPr>
        <w:spacing w:line="360" w:lineRule="auto"/>
        <w:ind w:left="426" w:leftChars="0"/>
        <w:outlineLvl w:val="1"/>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合同签订之日起至2026年12月31日止</w:t>
      </w:r>
      <w:r>
        <w:rPr>
          <w:rFonts w:hint="eastAsia" w:hAnsi="宋体" w:cs="宋体"/>
          <w:b w:val="0"/>
          <w:color w:val="auto"/>
          <w:kern w:val="2"/>
          <w:sz w:val="24"/>
          <w:szCs w:val="24"/>
          <w:highlight w:val="none"/>
          <w:lang w:val="en-US" w:eastAsia="zh-CN" w:bidi="ar-SA"/>
        </w:rPr>
        <w:t>。</w:t>
      </w:r>
    </w:p>
    <w:p w14:paraId="75513787">
      <w:pPr>
        <w:numPr>
          <w:ilvl w:val="0"/>
          <w:numId w:val="0"/>
        </w:numPr>
        <w:spacing w:line="360" w:lineRule="auto"/>
        <w:ind w:left="426" w:leftChars="0"/>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第四条  </w:t>
      </w:r>
      <w:r>
        <w:rPr>
          <w:rFonts w:hint="eastAsia" w:ascii="宋体" w:hAnsi="宋体" w:eastAsia="宋体" w:cs="宋体"/>
          <w:b/>
          <w:color w:val="auto"/>
          <w:sz w:val="24"/>
          <w:szCs w:val="24"/>
          <w:highlight w:val="none"/>
        </w:rPr>
        <w:t>服务费用及支付方式</w:t>
      </w:r>
      <w:bookmarkEnd w:id="3"/>
    </w:p>
    <w:p w14:paraId="3C18DA1B">
      <w:pPr>
        <w:numPr>
          <w:ilvl w:val="0"/>
          <w:numId w:val="0"/>
        </w:numPr>
        <w:spacing w:line="360" w:lineRule="auto"/>
        <w:ind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①甲方根据乙方完成工作量据实结算，按照有效期内实际发生检测次数、检测的项目分类统计，以乙方投标时提供的各项目投标报价为单价，计算总价。</w:t>
      </w:r>
    </w:p>
    <w:p w14:paraId="670AB9E4">
      <w:pPr>
        <w:numPr>
          <w:ilvl w:val="0"/>
          <w:numId w:val="0"/>
        </w:numPr>
        <w:spacing w:line="360" w:lineRule="auto"/>
        <w:ind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②按季度支付，由乙方向甲方提出付费申请，附完成项目检测报告、经甲方验收合格后，以此价格一次性向乙方支付合同价款，一次性包死。</w:t>
      </w:r>
    </w:p>
    <w:p w14:paraId="33A86E4F">
      <w:pPr>
        <w:numPr>
          <w:ilvl w:val="0"/>
          <w:numId w:val="0"/>
        </w:numPr>
        <w:spacing w:line="360" w:lineRule="auto"/>
        <w:ind w:leftChars="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③最终据实结算不超过本包设定的最高限价。</w:t>
      </w:r>
      <w:r>
        <w:rPr>
          <w:rFonts w:hint="eastAsia" w:ascii="宋体" w:hAnsi="宋体" w:eastAsia="宋体" w:cs="宋体"/>
          <w:b/>
          <w:color w:val="auto"/>
          <w:sz w:val="24"/>
          <w:szCs w:val="24"/>
          <w:highlight w:val="none"/>
        </w:rPr>
        <w:t xml:space="preserve"> </w:t>
      </w:r>
    </w:p>
    <w:p w14:paraId="6432113A">
      <w:pPr>
        <w:numPr>
          <w:ilvl w:val="0"/>
          <w:numId w:val="0"/>
        </w:numPr>
        <w:spacing w:line="360" w:lineRule="auto"/>
        <w:ind w:firstLine="482" w:firstLineChars="200"/>
        <w:outlineLvl w:val="1"/>
        <w:rPr>
          <w:rFonts w:hint="eastAsia" w:ascii="宋体" w:hAnsi="宋体" w:eastAsia="宋体" w:cs="宋体"/>
          <w:b/>
          <w:color w:val="auto"/>
          <w:sz w:val="24"/>
          <w:szCs w:val="24"/>
          <w:highlight w:val="none"/>
        </w:rPr>
      </w:pPr>
      <w:bookmarkStart w:id="22" w:name="_Toc5940"/>
      <w:r>
        <w:rPr>
          <w:rFonts w:hint="eastAsia" w:ascii="宋体" w:hAnsi="宋体" w:eastAsia="宋体" w:cs="宋体"/>
          <w:b/>
          <w:color w:val="auto"/>
          <w:sz w:val="24"/>
          <w:szCs w:val="24"/>
          <w:highlight w:val="none"/>
          <w:lang w:val="en-US" w:eastAsia="zh-CN"/>
        </w:rPr>
        <w:t xml:space="preserve">第五条  </w:t>
      </w:r>
      <w:r>
        <w:rPr>
          <w:rFonts w:hint="eastAsia" w:ascii="宋体" w:hAnsi="宋体" w:eastAsia="宋体" w:cs="宋体"/>
          <w:b/>
          <w:color w:val="auto"/>
          <w:sz w:val="24"/>
          <w:szCs w:val="24"/>
          <w:highlight w:val="none"/>
        </w:rPr>
        <w:t>知识产权</w:t>
      </w:r>
      <w:bookmarkEnd w:id="22"/>
    </w:p>
    <w:p w14:paraId="60DFC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4A86A837">
      <w:pPr>
        <w:numPr>
          <w:ilvl w:val="0"/>
          <w:numId w:val="0"/>
        </w:numPr>
        <w:spacing w:line="360" w:lineRule="auto"/>
        <w:ind w:left="496" w:leftChars="0"/>
        <w:outlineLvl w:val="1"/>
        <w:rPr>
          <w:rFonts w:hint="eastAsia" w:ascii="宋体" w:hAnsi="宋体" w:eastAsia="宋体" w:cs="宋体"/>
          <w:b/>
          <w:color w:val="auto"/>
          <w:sz w:val="24"/>
          <w:szCs w:val="24"/>
          <w:highlight w:val="none"/>
        </w:rPr>
      </w:pPr>
      <w:bookmarkStart w:id="23" w:name="_Toc7446"/>
      <w:r>
        <w:rPr>
          <w:rFonts w:hint="eastAsia" w:ascii="宋体" w:hAnsi="宋体" w:eastAsia="宋体" w:cs="宋体"/>
          <w:b/>
          <w:color w:val="auto"/>
          <w:sz w:val="24"/>
          <w:szCs w:val="24"/>
          <w:highlight w:val="none"/>
          <w:lang w:val="en-US" w:eastAsia="zh-CN"/>
        </w:rPr>
        <w:t xml:space="preserve">第六条  </w:t>
      </w:r>
      <w:r>
        <w:rPr>
          <w:rFonts w:hint="eastAsia" w:ascii="宋体" w:hAnsi="宋体" w:eastAsia="宋体" w:cs="宋体"/>
          <w:b/>
          <w:color w:val="auto"/>
          <w:sz w:val="24"/>
          <w:szCs w:val="24"/>
          <w:highlight w:val="none"/>
        </w:rPr>
        <w:t>无产权瑕疵条款</w:t>
      </w:r>
      <w:bookmarkEnd w:id="23"/>
    </w:p>
    <w:p w14:paraId="18CB82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2A7E4552">
      <w:pPr>
        <w:numPr>
          <w:ilvl w:val="0"/>
          <w:numId w:val="0"/>
        </w:numPr>
        <w:tabs>
          <w:tab w:val="left" w:pos="1470"/>
        </w:tabs>
        <w:spacing w:line="360" w:lineRule="auto"/>
        <w:ind w:firstLine="482" w:firstLineChars="200"/>
        <w:outlineLvl w:val="1"/>
        <w:rPr>
          <w:rFonts w:hint="eastAsia" w:ascii="宋体" w:hAnsi="宋体" w:eastAsia="宋体" w:cs="宋体"/>
          <w:b/>
          <w:color w:val="auto"/>
          <w:sz w:val="24"/>
          <w:szCs w:val="24"/>
          <w:highlight w:val="none"/>
        </w:rPr>
      </w:pPr>
      <w:bookmarkStart w:id="24" w:name="_Toc9727"/>
      <w:r>
        <w:rPr>
          <w:rFonts w:hint="eastAsia" w:ascii="宋体" w:hAnsi="宋体" w:eastAsia="宋体" w:cs="宋体"/>
          <w:b/>
          <w:color w:val="auto"/>
          <w:sz w:val="24"/>
          <w:szCs w:val="24"/>
          <w:highlight w:val="none"/>
          <w:lang w:val="en-US" w:eastAsia="zh-CN"/>
        </w:rPr>
        <w:t xml:space="preserve">第七条  </w:t>
      </w:r>
      <w:r>
        <w:rPr>
          <w:rFonts w:hint="eastAsia" w:ascii="宋体" w:hAnsi="宋体" w:eastAsia="宋体" w:cs="宋体"/>
          <w:b/>
          <w:color w:val="auto"/>
          <w:sz w:val="24"/>
          <w:szCs w:val="24"/>
          <w:highlight w:val="none"/>
        </w:rPr>
        <w:t>履约保证金</w:t>
      </w:r>
      <w:bookmarkEnd w:id="24"/>
    </w:p>
    <w:p w14:paraId="298676C8">
      <w:pPr>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不缴纳</w:t>
      </w:r>
    </w:p>
    <w:p w14:paraId="0D12B6C6">
      <w:pPr>
        <w:numPr>
          <w:ilvl w:val="0"/>
          <w:numId w:val="0"/>
        </w:numPr>
        <w:spacing w:line="360" w:lineRule="auto"/>
        <w:ind w:left="496" w:leftChars="0"/>
        <w:outlineLvl w:val="1"/>
        <w:rPr>
          <w:rFonts w:hint="eastAsia" w:ascii="宋体" w:hAnsi="宋体" w:eastAsia="宋体" w:cs="宋体"/>
          <w:b/>
          <w:color w:val="auto"/>
          <w:sz w:val="24"/>
          <w:szCs w:val="24"/>
          <w:highlight w:val="none"/>
        </w:rPr>
      </w:pPr>
      <w:bookmarkStart w:id="25" w:name="_Toc19589"/>
      <w:r>
        <w:rPr>
          <w:rFonts w:hint="eastAsia" w:ascii="宋体" w:hAnsi="宋体" w:eastAsia="宋体" w:cs="宋体"/>
          <w:b/>
          <w:color w:val="auto"/>
          <w:sz w:val="24"/>
          <w:szCs w:val="24"/>
          <w:highlight w:val="none"/>
          <w:lang w:val="en-US" w:eastAsia="zh-CN"/>
        </w:rPr>
        <w:t xml:space="preserve">第八条  </w:t>
      </w:r>
      <w:r>
        <w:rPr>
          <w:rFonts w:hint="eastAsia" w:ascii="宋体" w:hAnsi="宋体" w:eastAsia="宋体" w:cs="宋体"/>
          <w:b/>
          <w:color w:val="auto"/>
          <w:sz w:val="24"/>
          <w:szCs w:val="24"/>
          <w:highlight w:val="none"/>
        </w:rPr>
        <w:t>甲方的权利和义务</w:t>
      </w:r>
      <w:bookmarkEnd w:id="25"/>
    </w:p>
    <w:p w14:paraId="596F2AB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9C87A8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2、甲方有权依据双方签订的考评办法对乙方提供的服务进行定期考评。当考评结果未达到标准时，有权依据考评办法约定的数额扣除履约保证金。</w:t>
      </w:r>
    </w:p>
    <w:p w14:paraId="6D62C7A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3、负责检查监督乙方管理工作的实施及制度的执行情况。</w:t>
      </w:r>
    </w:p>
    <w:p w14:paraId="69D643C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4、根据本合同规定，按时向乙方支付应付服务费用。</w:t>
      </w:r>
    </w:p>
    <w:p w14:paraId="449D80E9">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5、国家法律、法规所规定由甲方承担的其它责任。</w:t>
      </w:r>
    </w:p>
    <w:p w14:paraId="3926BF0A">
      <w:pPr>
        <w:numPr>
          <w:ilvl w:val="0"/>
          <w:numId w:val="0"/>
        </w:numPr>
        <w:spacing w:line="360" w:lineRule="auto"/>
        <w:ind w:left="496" w:leftChars="0"/>
        <w:outlineLvl w:val="1"/>
        <w:rPr>
          <w:rFonts w:hint="eastAsia" w:ascii="宋体" w:hAnsi="宋体" w:eastAsia="宋体" w:cs="宋体"/>
          <w:b/>
          <w:color w:val="auto"/>
          <w:sz w:val="24"/>
          <w:szCs w:val="24"/>
          <w:highlight w:val="none"/>
        </w:rPr>
      </w:pPr>
      <w:bookmarkStart w:id="26" w:name="_Toc8800"/>
      <w:r>
        <w:rPr>
          <w:rFonts w:hint="eastAsia" w:ascii="宋体" w:hAnsi="宋体" w:eastAsia="宋体" w:cs="宋体"/>
          <w:b/>
          <w:color w:val="auto"/>
          <w:sz w:val="24"/>
          <w:szCs w:val="24"/>
          <w:highlight w:val="none"/>
          <w:lang w:val="en-US" w:eastAsia="zh-CN"/>
        </w:rPr>
        <w:t xml:space="preserve">第九条  </w:t>
      </w:r>
      <w:r>
        <w:rPr>
          <w:rFonts w:hint="eastAsia" w:ascii="宋体" w:hAnsi="宋体" w:eastAsia="宋体" w:cs="宋体"/>
          <w:b/>
          <w:color w:val="auto"/>
          <w:sz w:val="24"/>
          <w:szCs w:val="24"/>
          <w:highlight w:val="none"/>
        </w:rPr>
        <w:t>乙方的权利和义务</w:t>
      </w:r>
      <w:bookmarkEnd w:id="26"/>
    </w:p>
    <w:p w14:paraId="776525A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1、对本合同规定的委托服务范围内的项目享有管理权及服务义务。</w:t>
      </w:r>
    </w:p>
    <w:p w14:paraId="08C7EDE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2、根据本合同的规定向甲方收取相关服务费用，并有权在本项目管理范围内管理及合理使用。</w:t>
      </w:r>
    </w:p>
    <w:p w14:paraId="6FE264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1CD8B44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接受项目行业管理部门及政府有关部门的指导，接受甲方的监督。</w:t>
      </w:r>
    </w:p>
    <w:p w14:paraId="5DB978F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5、国家法律、法规所规定由乙方承担的其它责任。</w:t>
      </w:r>
    </w:p>
    <w:p w14:paraId="216E954B">
      <w:pPr>
        <w:numPr>
          <w:ilvl w:val="0"/>
          <w:numId w:val="0"/>
        </w:numPr>
        <w:spacing w:line="360" w:lineRule="auto"/>
        <w:ind w:left="496" w:leftChars="0"/>
        <w:outlineLvl w:val="1"/>
        <w:rPr>
          <w:rFonts w:hint="eastAsia" w:ascii="宋体" w:hAnsi="宋体" w:eastAsia="宋体" w:cs="宋体"/>
          <w:b/>
          <w:color w:val="auto"/>
          <w:sz w:val="24"/>
          <w:szCs w:val="24"/>
          <w:highlight w:val="none"/>
        </w:rPr>
      </w:pPr>
      <w:bookmarkStart w:id="27" w:name="_Toc23804"/>
      <w:r>
        <w:rPr>
          <w:rFonts w:hint="eastAsia" w:ascii="宋体" w:hAnsi="宋体" w:eastAsia="宋体" w:cs="宋体"/>
          <w:b/>
          <w:color w:val="auto"/>
          <w:sz w:val="24"/>
          <w:szCs w:val="24"/>
          <w:highlight w:val="none"/>
          <w:lang w:val="en-US" w:eastAsia="zh-CN"/>
        </w:rPr>
        <w:t xml:space="preserve">第十条  </w:t>
      </w:r>
      <w:r>
        <w:rPr>
          <w:rFonts w:hint="eastAsia" w:ascii="宋体" w:hAnsi="宋体" w:eastAsia="宋体" w:cs="宋体"/>
          <w:b/>
          <w:color w:val="auto"/>
          <w:sz w:val="24"/>
          <w:szCs w:val="24"/>
          <w:highlight w:val="none"/>
        </w:rPr>
        <w:t>违约责任</w:t>
      </w:r>
      <w:bookmarkEnd w:id="27"/>
    </w:p>
    <w:p w14:paraId="41F61D7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1、甲乙双方必须遵守本合同并执行合同中的各项规定，保证本合同的正常履行。</w:t>
      </w:r>
    </w:p>
    <w:p w14:paraId="5FECB04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FE680B8">
      <w:pPr>
        <w:numPr>
          <w:ilvl w:val="0"/>
          <w:numId w:val="0"/>
        </w:numPr>
        <w:spacing w:line="360" w:lineRule="auto"/>
        <w:ind w:left="496" w:leftChars="0"/>
        <w:outlineLvl w:val="1"/>
        <w:rPr>
          <w:rFonts w:hint="eastAsia" w:ascii="宋体" w:hAnsi="宋体" w:eastAsia="宋体" w:cs="宋体"/>
          <w:b/>
          <w:color w:val="auto"/>
          <w:sz w:val="24"/>
          <w:szCs w:val="24"/>
          <w:highlight w:val="none"/>
        </w:rPr>
      </w:pPr>
      <w:bookmarkStart w:id="28" w:name="_Toc28495"/>
      <w:r>
        <w:rPr>
          <w:rFonts w:hint="eastAsia" w:ascii="宋体" w:hAnsi="宋体" w:eastAsia="宋体" w:cs="宋体"/>
          <w:b/>
          <w:color w:val="auto"/>
          <w:sz w:val="24"/>
          <w:szCs w:val="24"/>
          <w:highlight w:val="none"/>
          <w:lang w:val="en-US" w:eastAsia="zh-CN"/>
        </w:rPr>
        <w:t xml:space="preserve">第十一条  </w:t>
      </w:r>
      <w:r>
        <w:rPr>
          <w:rFonts w:hint="eastAsia" w:ascii="宋体" w:hAnsi="宋体" w:eastAsia="宋体" w:cs="宋体"/>
          <w:b/>
          <w:color w:val="auto"/>
          <w:sz w:val="24"/>
          <w:szCs w:val="24"/>
          <w:highlight w:val="none"/>
        </w:rPr>
        <w:t>不可抗力事件处理</w:t>
      </w:r>
      <w:bookmarkEnd w:id="28"/>
    </w:p>
    <w:p w14:paraId="55D9DA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1、在合同有效期内，任何一方因不可抗力事件导致不能履行合同，则合同履行期可延长，其延长期与不可抗力影响期相同。</w:t>
      </w:r>
    </w:p>
    <w:p w14:paraId="26A9E8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2、不可抗力事件发生后，应立即通知对方，并寄送有关权威机构出具的证明。</w:t>
      </w:r>
    </w:p>
    <w:p w14:paraId="64BB74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3、不可抗力事件延续XX天以上，双方应通过友好协商，确定是否继续履行合同。</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0BC9290">
      <w:pPr>
        <w:keepNext w:val="0"/>
        <w:keepLines w:val="0"/>
        <w:pageBreakBefore w:val="0"/>
        <w:widowControl w:val="0"/>
        <w:numPr>
          <w:ilvl w:val="0"/>
          <w:numId w:val="0"/>
        </w:numPr>
        <w:kinsoku/>
        <w:wordWrap/>
        <w:overflowPunct/>
        <w:topLinePunct w:val="0"/>
        <w:autoSpaceDE/>
        <w:autoSpaceDN/>
        <w:bidi w:val="0"/>
        <w:spacing w:line="360" w:lineRule="auto"/>
        <w:ind w:left="496" w:leftChars="0"/>
        <w:textAlignment w:val="auto"/>
        <w:outlineLvl w:val="1"/>
        <w:rPr>
          <w:rFonts w:hint="eastAsia" w:ascii="宋体" w:hAnsi="宋体" w:eastAsia="宋体" w:cs="宋体"/>
          <w:b/>
          <w:color w:val="auto"/>
          <w:sz w:val="24"/>
          <w:szCs w:val="24"/>
          <w:highlight w:val="none"/>
        </w:rPr>
      </w:pPr>
      <w:bookmarkStart w:id="29" w:name="_Toc237145411"/>
      <w:bookmarkStart w:id="30" w:name="_Toc185395254"/>
      <w:bookmarkStart w:id="31" w:name="_Toc225244857"/>
      <w:bookmarkStart w:id="32" w:name="_Toc238984980"/>
      <w:bookmarkStart w:id="33" w:name="_Toc225670756"/>
      <w:bookmarkStart w:id="34" w:name="_Toc212019599"/>
      <w:bookmarkStart w:id="35" w:name="_Toc239233919"/>
      <w:bookmarkStart w:id="36" w:name="_Toc239568423"/>
      <w:bookmarkStart w:id="37" w:name="_Toc19921"/>
      <w:bookmarkStart w:id="38" w:name="_Toc211911353"/>
      <w:bookmarkStart w:id="39" w:name="_Toc232492933"/>
      <w:bookmarkStart w:id="40" w:name="_Toc225654649"/>
      <w:bookmarkStart w:id="41" w:name="_Toc241833908"/>
      <w:bookmarkStart w:id="42" w:name="_Toc251768867"/>
      <w:bookmarkStart w:id="43" w:name="_Toc211854454"/>
      <w:bookmarkStart w:id="44" w:name="_Toc247334846"/>
      <w:bookmarkStart w:id="45" w:name="_Toc286993792"/>
      <w:r>
        <w:rPr>
          <w:rFonts w:hint="eastAsia" w:ascii="宋体" w:hAnsi="宋体" w:eastAsia="宋体" w:cs="宋体"/>
          <w:b/>
          <w:color w:val="auto"/>
          <w:sz w:val="24"/>
          <w:szCs w:val="24"/>
          <w:highlight w:val="none"/>
          <w:lang w:val="en-US" w:eastAsia="zh-CN"/>
        </w:rPr>
        <w:t xml:space="preserve">第十二条  </w:t>
      </w:r>
      <w:r>
        <w:rPr>
          <w:rFonts w:hint="eastAsia" w:ascii="宋体" w:hAnsi="宋体" w:eastAsia="宋体" w:cs="宋体"/>
          <w:b/>
          <w:color w:val="auto"/>
          <w:sz w:val="24"/>
          <w:szCs w:val="24"/>
          <w:highlight w:val="none"/>
        </w:rPr>
        <w:t>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F22084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bookmarkStart w:id="46" w:name="_Toc282696231"/>
      <w:bookmarkStart w:id="47" w:name="_Toc241833909"/>
      <w:bookmarkStart w:id="48" w:name="_Toc225670757"/>
      <w:bookmarkStart w:id="49" w:name="_Toc286993793"/>
      <w:bookmarkStart w:id="50" w:name="_Toc212019600"/>
      <w:bookmarkStart w:id="51" w:name="_Toc247334847"/>
      <w:bookmarkStart w:id="52" w:name="_Toc225654650"/>
      <w:bookmarkStart w:id="53" w:name="_Toc239568424"/>
      <w:bookmarkStart w:id="54" w:name="_Toc211911354"/>
      <w:bookmarkStart w:id="55" w:name="_Toc232492934"/>
      <w:bookmarkStart w:id="56" w:name="_Toc239233920"/>
      <w:bookmarkStart w:id="57" w:name="_Toc211854455"/>
      <w:bookmarkStart w:id="58" w:name="_Toc237145412"/>
      <w:bookmarkStart w:id="59" w:name="_Toc225244858"/>
      <w:bookmarkStart w:id="60" w:name="_Toc283019219"/>
      <w:bookmarkStart w:id="61" w:name="_Toc251768868"/>
      <w:bookmarkStart w:id="62" w:name="_Toc238984981"/>
      <w:bookmarkStart w:id="63" w:name="_Toc185395255"/>
      <w:r>
        <w:rPr>
          <w:rFonts w:hint="eastAsia" w:ascii="宋体" w:hAnsi="宋体" w:eastAsia="宋体" w:cs="宋体"/>
          <w:color w:val="auto"/>
          <w:sz w:val="24"/>
          <w:szCs w:val="24"/>
          <w:highlight w:val="none"/>
        </w:rPr>
        <w:t>1、合同一经签订，不得随意变更、中止或终止。对确需变更、调整或者中止、终止合同的，应按规定履行相应的手续。</w:t>
      </w:r>
    </w:p>
    <w:p w14:paraId="45F16D7C">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2、合同执行中发生争议的，甲、乙双方应协商解决，协商达不成一致时，可向甲方所在地人民法院提请诉讼。</w:t>
      </w:r>
    </w:p>
    <w:p w14:paraId="4404DE6E">
      <w:pPr>
        <w:keepNext w:val="0"/>
        <w:keepLines w:val="0"/>
        <w:pageBreakBefore w:val="0"/>
        <w:widowControl w:val="0"/>
        <w:numPr>
          <w:ilvl w:val="0"/>
          <w:numId w:val="0"/>
        </w:numPr>
        <w:kinsoku/>
        <w:wordWrap/>
        <w:overflowPunct/>
        <w:topLinePunct w:val="0"/>
        <w:autoSpaceDE/>
        <w:autoSpaceDN/>
        <w:bidi w:val="0"/>
        <w:spacing w:line="360" w:lineRule="auto"/>
        <w:ind w:left="496" w:leftChars="0"/>
        <w:textAlignment w:val="auto"/>
        <w:outlineLvl w:val="1"/>
        <w:rPr>
          <w:rFonts w:hint="eastAsia" w:ascii="宋体" w:hAnsi="宋体" w:eastAsia="宋体" w:cs="宋体"/>
          <w:b/>
          <w:color w:val="auto"/>
          <w:sz w:val="24"/>
          <w:szCs w:val="24"/>
          <w:highlight w:val="none"/>
        </w:rPr>
      </w:pPr>
      <w:bookmarkStart w:id="64" w:name="_Toc7684"/>
      <w:r>
        <w:rPr>
          <w:rFonts w:hint="eastAsia" w:ascii="宋体" w:hAnsi="宋体" w:eastAsia="宋体" w:cs="宋体"/>
          <w:b/>
          <w:color w:val="auto"/>
          <w:sz w:val="24"/>
          <w:szCs w:val="24"/>
          <w:highlight w:val="none"/>
          <w:lang w:val="en-US" w:eastAsia="zh-CN"/>
        </w:rPr>
        <w:t xml:space="preserve">第十三条  </w:t>
      </w:r>
      <w:r>
        <w:rPr>
          <w:rFonts w:hint="eastAsia" w:ascii="宋体" w:hAnsi="宋体" w:eastAsia="宋体" w:cs="宋体"/>
          <w:b/>
          <w:color w:val="auto"/>
          <w:sz w:val="24"/>
          <w:szCs w:val="24"/>
          <w:highlight w:val="none"/>
        </w:rPr>
        <w:t>合同</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hint="eastAsia" w:ascii="宋体" w:hAnsi="宋体" w:eastAsia="宋体" w:cs="宋体"/>
          <w:b/>
          <w:color w:val="auto"/>
          <w:sz w:val="24"/>
          <w:szCs w:val="24"/>
          <w:highlight w:val="none"/>
        </w:rPr>
        <w:t>生效及其他</w:t>
      </w:r>
      <w:bookmarkEnd w:id="64"/>
    </w:p>
    <w:p w14:paraId="73FADEA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1、甲、乙双方做为合同执行的主体，有义务及时完全履行合同。西安市临潼区政府采购服务中心监督履行。</w:t>
      </w:r>
    </w:p>
    <w:p w14:paraId="522185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2、合同未尽事宜，由甲、乙双方协商，协商方案作为本合同不可分割的组成部分，与本合同具有同等法律效力。</w:t>
      </w:r>
    </w:p>
    <w:p w14:paraId="3ED424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3、招标文件和乙方的投标文件以及合同附件均为合同不可分割的部分。</w:t>
      </w:r>
    </w:p>
    <w:p w14:paraId="03799959">
      <w:pPr>
        <w:keepNext w:val="0"/>
        <w:keepLines w:val="0"/>
        <w:pageBreakBefore w:val="0"/>
        <w:widowControl w:val="0"/>
        <w:tabs>
          <w:tab w:val="left" w:pos="5355"/>
        </w:tabs>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4、合同一式</w:t>
      </w:r>
      <w:r>
        <w:rPr>
          <w:rFonts w:hint="eastAsia" w:ascii="宋体" w:hAnsi="宋体" w:eastAsia="宋体" w:cs="宋体"/>
          <w:color w:val="auto"/>
          <w:sz w:val="24"/>
          <w:szCs w:val="24"/>
          <w:highlight w:val="none"/>
          <w:lang w:val="en-US" w:eastAsia="zh-CN"/>
        </w:rPr>
        <w:t>肆</w:t>
      </w:r>
      <w:r>
        <w:rPr>
          <w:rFonts w:hint="eastAsia" w:ascii="宋体" w:hAnsi="宋体" w:eastAsia="宋体" w:cs="宋体"/>
          <w:color w:val="auto"/>
          <w:sz w:val="24"/>
          <w:szCs w:val="24"/>
          <w:highlight w:val="none"/>
        </w:rPr>
        <w:t>份，甲方、乙方各贰份。甲方、乙方及方签字盖章后生效，合同执行完毕自动失效。</w:t>
      </w:r>
    </w:p>
    <w:p w14:paraId="091BB382">
      <w:pPr>
        <w:numPr>
          <w:ilvl w:val="0"/>
          <w:numId w:val="0"/>
        </w:numPr>
        <w:spacing w:line="360" w:lineRule="auto"/>
        <w:ind w:left="496" w:leftChars="0"/>
        <w:outlineLvl w:val="1"/>
        <w:rPr>
          <w:rFonts w:hint="eastAsia" w:ascii="宋体" w:hAnsi="宋体" w:eastAsia="宋体" w:cs="宋体"/>
          <w:b/>
          <w:color w:val="auto"/>
          <w:sz w:val="24"/>
          <w:szCs w:val="24"/>
          <w:highlight w:val="none"/>
        </w:rPr>
      </w:pPr>
      <w:bookmarkStart w:id="65" w:name="_Toc9653"/>
      <w:r>
        <w:rPr>
          <w:rFonts w:hint="eastAsia" w:ascii="宋体" w:hAnsi="宋体" w:eastAsia="宋体" w:cs="宋体"/>
          <w:b/>
          <w:color w:val="auto"/>
          <w:sz w:val="24"/>
          <w:szCs w:val="24"/>
          <w:highlight w:val="none"/>
          <w:lang w:val="en-US" w:eastAsia="zh-CN"/>
        </w:rPr>
        <w:t xml:space="preserve">第十四条  </w:t>
      </w:r>
      <w:r>
        <w:rPr>
          <w:rFonts w:hint="eastAsia" w:ascii="宋体" w:hAnsi="宋体" w:eastAsia="宋体" w:cs="宋体"/>
          <w:b/>
          <w:color w:val="auto"/>
          <w:sz w:val="24"/>
          <w:szCs w:val="24"/>
          <w:highlight w:val="none"/>
        </w:rPr>
        <w:t>附件</w:t>
      </w:r>
      <w:bookmarkEnd w:id="65"/>
    </w:p>
    <w:p w14:paraId="09821D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w:t>
      </w:r>
      <w:r>
        <w:rPr>
          <w:rFonts w:hint="eastAsia" w:hAnsi="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eastAsia="zh-CN"/>
        </w:rPr>
        <w:t>文件</w:t>
      </w:r>
    </w:p>
    <w:p w14:paraId="01060F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2、项目修改澄清文件</w:t>
      </w:r>
    </w:p>
    <w:p w14:paraId="43D711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w:t>
      </w:r>
      <w:r>
        <w:rPr>
          <w:rFonts w:hint="eastAsia"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08740A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w:t>
      </w:r>
      <w:bookmarkStart w:id="66" w:name="_GoBack"/>
      <w:bookmarkEnd w:id="66"/>
    </w:p>
    <w:p w14:paraId="04023B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5、其他</w:t>
      </w:r>
    </w:p>
    <w:p w14:paraId="5191DA29">
      <w:pPr>
        <w:spacing w:line="360" w:lineRule="auto"/>
        <w:ind w:firstLine="480" w:firstLineChars="200"/>
        <w:rPr>
          <w:rFonts w:hint="eastAsia" w:ascii="宋体" w:hAnsi="宋体" w:eastAsia="宋体" w:cs="宋体"/>
          <w:color w:val="auto"/>
          <w:sz w:val="24"/>
          <w:szCs w:val="24"/>
          <w:highlight w:val="none"/>
        </w:rPr>
      </w:pPr>
    </w:p>
    <w:p w14:paraId="4FBF2BDF">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方：（公章）                          乙  方：（公章）</w:t>
      </w:r>
    </w:p>
    <w:p w14:paraId="53CAC12C">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地  址： </w:t>
      </w:r>
    </w:p>
    <w:p w14:paraId="5AAD3EC8">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75E89CF5">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代理人：（签字）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代理人：（签字）</w:t>
      </w:r>
    </w:p>
    <w:p w14:paraId="26D0F207">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联系电话：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联系电话：</w:t>
      </w:r>
    </w:p>
    <w:p w14:paraId="5189EBE9">
      <w:pPr>
        <w:adjustRightInd w:val="0"/>
        <w:snapToGrid w:val="0"/>
        <w:spacing w:line="360" w:lineRule="auto"/>
        <w:rPr>
          <w:rFonts w:hint="eastAsia" w:ascii="宋体" w:hAnsi="宋体" w:eastAsia="宋体" w:cs="宋体"/>
          <w:sz w:val="24"/>
          <w:szCs w:val="24"/>
          <w:highlight w:val="none"/>
          <w:lang w:val="en-US" w:eastAsia="zh-Hans"/>
        </w:rPr>
      </w:pPr>
      <w:r>
        <w:rPr>
          <w:rFonts w:hint="eastAsia" w:ascii="宋体" w:hAnsi="宋体" w:eastAsia="宋体" w:cs="宋体"/>
          <w:color w:val="auto"/>
          <w:sz w:val="24"/>
          <w:szCs w:val="24"/>
          <w:highlight w:val="none"/>
        </w:rPr>
        <w:t xml:space="preserve">签订日期：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                 签订日期：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36BFF6FD">
      <w:pPr>
        <w:pStyle w:val="13"/>
        <w:rPr>
          <w:rFonts w:hint="eastAsia"/>
          <w:highlight w:val="none"/>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18FFA">
    <w:pPr>
      <w:pStyle w:val="7"/>
      <w:tabs>
        <w:tab w:val="center" w:pos="4419"/>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C4DB68">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EC4DB68">
                    <w:pPr>
                      <w:pStyle w:val="7"/>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ZTVkOGVjMTBjMGYwODY1N2Q5MjNjYjljMjBjOWMifQ=="/>
  </w:docVars>
  <w:rsids>
    <w:rsidRoot w:val="53B52B8D"/>
    <w:rsid w:val="01B141B1"/>
    <w:rsid w:val="14CB742F"/>
    <w:rsid w:val="162B3023"/>
    <w:rsid w:val="177F50ED"/>
    <w:rsid w:val="1A7D7923"/>
    <w:rsid w:val="1C24633F"/>
    <w:rsid w:val="1CBE2FD4"/>
    <w:rsid w:val="205F7590"/>
    <w:rsid w:val="23BF6C61"/>
    <w:rsid w:val="24813988"/>
    <w:rsid w:val="2926791C"/>
    <w:rsid w:val="41227FB5"/>
    <w:rsid w:val="41B04B8A"/>
    <w:rsid w:val="50D93E3B"/>
    <w:rsid w:val="519D270A"/>
    <w:rsid w:val="53B52B8D"/>
    <w:rsid w:val="60ED3CD0"/>
    <w:rsid w:val="630A1383"/>
    <w:rsid w:val="66981E08"/>
    <w:rsid w:val="704A1485"/>
    <w:rsid w:val="77F79321"/>
    <w:rsid w:val="784D73C4"/>
    <w:rsid w:val="7AC774B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9"/>
    <w:pPr>
      <w:keepNext/>
      <w:keepLines/>
      <w:widowControl/>
      <w:spacing w:before="100" w:beforeAutospacing="1" w:after="100" w:afterAutospacing="1"/>
      <w:ind w:left="284"/>
      <w:jc w:val="left"/>
      <w:outlineLvl w:val="1"/>
    </w:pPr>
    <w:rPr>
      <w:rFonts w:ascii="Arial" w:hAnsi="Arial"/>
      <w:b/>
      <w:bCs/>
      <w:sz w:val="28"/>
      <w:szCs w:val="28"/>
    </w:rPr>
  </w:style>
  <w:style w:type="paragraph" w:styleId="3">
    <w:name w:val="heading 3"/>
    <w:basedOn w:val="1"/>
    <w:next w:val="1"/>
    <w:qFormat/>
    <w:uiPriority w:val="0"/>
    <w:pPr>
      <w:keepNext/>
      <w:spacing w:before="624" w:line="400" w:lineRule="exact"/>
      <w:jc w:val="center"/>
      <w:outlineLvl w:val="2"/>
    </w:pPr>
    <w:rPr>
      <w:rFonts w:ascii="Times New Roman"/>
      <w:b/>
      <w:bCs/>
      <w:kern w:val="2"/>
      <w:szCs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200" w:firstLineChars="200"/>
    </w:pPr>
    <w:rPr>
      <w:rFonts w:ascii="Times New Roman"/>
      <w:kern w:val="2"/>
      <w:sz w:val="21"/>
      <w:szCs w:val="24"/>
    </w:rPr>
  </w:style>
  <w:style w:type="paragraph" w:styleId="5">
    <w:name w:val="toc 4"/>
    <w:basedOn w:val="1"/>
    <w:next w:val="1"/>
    <w:unhideWhenUsed/>
    <w:qFormat/>
    <w:uiPriority w:val="39"/>
  </w:style>
  <w:style w:type="paragraph" w:styleId="6">
    <w:name w:val="Body Text"/>
    <w:basedOn w:val="1"/>
    <w:qFormat/>
    <w:uiPriority w:val="0"/>
    <w:pPr>
      <w:spacing w:after="120"/>
    </w:pPr>
    <w:rPr>
      <w:rFonts w:ascii="Times New Roman"/>
      <w:kern w:val="2"/>
      <w:sz w:val="21"/>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Normal (Web)"/>
    <w:basedOn w:val="1"/>
    <w:unhideWhenUsed/>
    <w:qFormat/>
    <w:uiPriority w:val="99"/>
    <w:pPr>
      <w:widowControl/>
      <w:spacing w:before="100" w:beforeAutospacing="1" w:after="100" w:afterAutospacing="1"/>
      <w:jc w:val="left"/>
    </w:pPr>
    <w:rPr>
      <w:rFonts w:hAnsi="宋体" w:cs="宋体"/>
      <w:szCs w:val="24"/>
    </w:rPr>
  </w:style>
  <w:style w:type="paragraph" w:styleId="9">
    <w:name w:val="Body Text First Indent"/>
    <w:basedOn w:val="6"/>
    <w:unhideWhenUsed/>
    <w:qFormat/>
    <w:uiPriority w:val="99"/>
    <w:pPr>
      <w:ind w:firstLine="420" w:firstLineChars="100"/>
    </w:pPr>
    <w:rPr>
      <w:szCs w:val="22"/>
    </w:rPr>
  </w:style>
  <w:style w:type="table" w:styleId="11">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Table Paragraph"/>
    <w:basedOn w:val="1"/>
    <w:qFormat/>
    <w:uiPriority w:val="1"/>
    <w:rPr>
      <w:rFonts w:hAnsi="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4728</Words>
  <Characters>5474</Characters>
  <Lines>0</Lines>
  <Paragraphs>0</Paragraphs>
  <TotalTime>0</TotalTime>
  <ScaleCrop>false</ScaleCrop>
  <LinksUpToDate>false</LinksUpToDate>
  <CharactersWithSpaces>5691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Y</cp:lastModifiedBy>
  <dcterms:modified xsi:type="dcterms:W3CDTF">2026-04-08T02:59:23Z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7E9F005681CD4DA293C12342FFADF336_12</vt:lpwstr>
  </property>
  <property fmtid="{D5CDD505-2E9C-101B-9397-08002B2CF9AE}" pid="4" name="KSOTemplateDocerSaveRecord">
    <vt:lpwstr>eyJoZGlkIjoiN2EzZTVkOGVjMTBjMGYwODY1N2Q5MjNjYjljMjBjOWMiLCJ1c2VySWQiOiIxMDMyOTA1OTI4In0=</vt:lpwstr>
  </property>
</Properties>
</file>