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版本号：GYGJ2026-ZCCS00320260409001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伞塔路综合健身中心日常运转保障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GYGJ2026-ZCCS003</w:t>
      </w:r>
      <w:r>
        <w:br/>
      </w:r>
      <w:r>
        <w:br/>
      </w:r>
      <w:r>
        <w:br/>
      </w:r>
    </w:p>
    <w:p>
      <w:pPr>
        <w:pStyle w:val="null3"/>
        <w:jc w:val="center"/>
        <w:outlineLvl w:val="2"/>
      </w:pPr>
      <w:r>
        <w:rPr>
          <w:rFonts w:ascii="仿宋_GB2312" w:hAnsi="仿宋_GB2312" w:cs="仿宋_GB2312" w:eastAsia="仿宋_GB2312"/>
          <w:sz w:val="28"/>
          <w:b/>
        </w:rPr>
        <w:t>西安市社会体育指导中心</w:t>
      </w:r>
    </w:p>
    <w:p>
      <w:pPr>
        <w:pStyle w:val="null3"/>
        <w:jc w:val="center"/>
        <w:outlineLvl w:val="2"/>
      </w:pPr>
      <w:r>
        <w:rPr>
          <w:rFonts w:ascii="仿宋_GB2312" w:hAnsi="仿宋_GB2312" w:cs="仿宋_GB2312" w:eastAsia="仿宋_GB2312"/>
          <w:sz w:val="28"/>
          <w:b/>
        </w:rPr>
        <w:t>国煜国际招标有限公司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国煜国际招标有限公司</w:t>
      </w:r>
      <w:r>
        <w:rPr>
          <w:rFonts w:ascii="仿宋_GB2312" w:hAnsi="仿宋_GB2312" w:cs="仿宋_GB2312" w:eastAsia="仿宋_GB2312"/>
        </w:rPr>
        <w:t>（以下简称“代理机构”）受</w:t>
      </w:r>
      <w:r>
        <w:rPr>
          <w:rFonts w:ascii="仿宋_GB2312" w:hAnsi="仿宋_GB2312" w:cs="仿宋_GB2312" w:eastAsia="仿宋_GB2312"/>
        </w:rPr>
        <w:t>西安市社会体育指导中心</w:t>
      </w:r>
      <w:r>
        <w:rPr>
          <w:rFonts w:ascii="仿宋_GB2312" w:hAnsi="仿宋_GB2312" w:cs="仿宋_GB2312" w:eastAsia="仿宋_GB2312"/>
        </w:rPr>
        <w:t>委托，拟对</w:t>
      </w:r>
      <w:r>
        <w:rPr>
          <w:rFonts w:ascii="仿宋_GB2312" w:hAnsi="仿宋_GB2312" w:cs="仿宋_GB2312" w:eastAsia="仿宋_GB2312"/>
        </w:rPr>
        <w:t>伞塔路综合健身中心日常运转保障</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GYGJ2026-ZCCS003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伞塔路综合健身中心日常运转保障</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西安市伞塔路综合健身中心体育场馆，为保障健身中心日常运转，需采购体育场馆工作人员提供劳务服务。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采购包1（伞塔路综合健身中心日常运转保障）：属于专门面向中小企业采购。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小企业声明函：参与的供应商服务全部由符合政策要求的中小微企业承接。（提供中小企业声明函或监狱企业的证明文件或残疾人福利性单位声明函）。供应商需在项目电子化交易系统中按要求上传相应证明文件并进行电子签章。</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信誉要求：供应商递交响应文件截止时间前在“信用中国”网站（www.creditchina.gov.cn）上被列入失信被执行人、重大税收违法失信主体和中国政府采购网（www.ccgp.gov.cn）被列入政府采购严重违法失信行为记录名单的，不得参加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西安市社会体育指导中心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西安市西五路26号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西安市社会体育指导中心经办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18609216759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国煜国际招标有限公司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陕西省西安市经开区明光路与凤城七路十字长和国际D座20层2006-01室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马倩、史佑先、盛莉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17392738821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中标/成交供应商支付，参照国家计委颁布的《招标代理服务收费管理暂行办法》（计价格『2002』1980号）及发改办价格『2003』857号文件的规定标准收取。招标代理服务费不足人民币柒仟元的按人民币柒仟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西安市社会体育指导中心</w:t>
      </w:r>
      <w:r>
        <w:rPr>
          <w:rFonts w:ascii="仿宋_GB2312" w:hAnsi="仿宋_GB2312" w:cs="仿宋_GB2312" w:eastAsia="仿宋_GB2312"/>
        </w:rPr>
        <w:t>和</w:t>
      </w:r>
      <w:r>
        <w:rPr>
          <w:rFonts w:ascii="仿宋_GB2312" w:hAnsi="仿宋_GB2312" w:cs="仿宋_GB2312" w:eastAsia="仿宋_GB2312"/>
        </w:rPr>
        <w:t>国煜国际招标有限公司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西安市社会体育指导中心</w:t>
      </w:r>
      <w:r>
        <w:rPr>
          <w:rFonts w:ascii="仿宋_GB2312" w:hAnsi="仿宋_GB2312" w:cs="仿宋_GB2312" w:eastAsia="仿宋_GB2312"/>
        </w:rPr>
        <w:t>负责解释。除上述磋商文件内容，其他内容由</w:t>
      </w:r>
      <w:r>
        <w:rPr>
          <w:rFonts w:ascii="仿宋_GB2312" w:hAnsi="仿宋_GB2312" w:cs="仿宋_GB2312" w:eastAsia="仿宋_GB2312"/>
        </w:rPr>
        <w:t>国煜国际招标有限公司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西安市社会体育指导中心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国煜国际招标有限公司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国煜国际招标有限公司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国煜国际招标有限公司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国煜国际招标有限公司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联系人：马倩</w:t>
      </w:r>
    </w:p>
    <w:p>
      <w:pPr>
        <w:pStyle w:val="null3"/>
      </w:pPr>
      <w:r>
        <w:rPr>
          <w:rFonts w:ascii="仿宋_GB2312" w:hAnsi="仿宋_GB2312" w:cs="仿宋_GB2312" w:eastAsia="仿宋_GB2312"/>
        </w:rPr>
        <w:t>联系电话：17392738821</w:t>
      </w:r>
    </w:p>
    <w:p>
      <w:pPr>
        <w:pStyle w:val="null3"/>
      </w:pPr>
      <w:r>
        <w:rPr>
          <w:rFonts w:ascii="仿宋_GB2312" w:hAnsi="仿宋_GB2312" w:cs="仿宋_GB2312" w:eastAsia="仿宋_GB2312"/>
        </w:rPr>
        <w:t>地址：西安市经济技术开发区凤城七路长和国际D座20层2006-1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西安市伞塔路综合健身中心体育场馆工作人员劳务服务，保障健身中心日常运转。</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700,800.00</w:t>
      </w:r>
    </w:p>
    <w:p>
      <w:pPr>
        <w:pStyle w:val="null3"/>
      </w:pPr>
      <w:r>
        <w:rPr>
          <w:rFonts w:ascii="仿宋_GB2312" w:hAnsi="仿宋_GB2312" w:cs="仿宋_GB2312" w:eastAsia="仿宋_GB2312"/>
        </w:rPr>
        <w:t>采购包最高限价（元）: 700,800.00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伞塔路综合健身中心日常运转保障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标的名称：伞塔路综合健身中心日常运转保障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1、项目地点：西安市伞塔路综合健身中心体育场馆</w:t>
            </w:r>
          </w:p>
          <w:p>
            <w:pPr>
              <w:pStyle w:val="null3"/>
            </w:pPr>
            <w:r>
              <w:rPr>
                <w:rFonts w:ascii="仿宋_GB2312" w:hAnsi="仿宋_GB2312" w:cs="仿宋_GB2312" w:eastAsia="仿宋_GB2312"/>
              </w:rPr>
              <w:t>2、为保障健身中心日常运转，需采购体育场馆工作人员提供劳务服务。</w:t>
            </w:r>
          </w:p>
          <w:p>
            <w:pPr>
              <w:pStyle w:val="null3"/>
            </w:pPr>
            <w:r>
              <w:rPr>
                <w:rFonts w:ascii="仿宋_GB2312" w:hAnsi="仿宋_GB2312" w:cs="仿宋_GB2312" w:eastAsia="仿宋_GB2312"/>
              </w:rPr>
              <w:t xml:space="preserve">二、服务期限：一年。 </w:t>
            </w:r>
          </w:p>
          <w:p>
            <w:pPr>
              <w:pStyle w:val="null3"/>
            </w:pPr>
            <w:r>
              <w:rPr>
                <w:rFonts w:ascii="仿宋_GB2312" w:hAnsi="仿宋_GB2312" w:cs="仿宋_GB2312" w:eastAsia="仿宋_GB2312"/>
              </w:rPr>
              <w:t>三、工作要求及说明：</w:t>
            </w:r>
          </w:p>
          <w:p>
            <w:pPr>
              <w:pStyle w:val="null3"/>
            </w:pPr>
            <w:r>
              <w:rPr>
                <w:rFonts w:ascii="仿宋_GB2312" w:hAnsi="仿宋_GB2312" w:cs="仿宋_GB2312" w:eastAsia="仿宋_GB2312"/>
              </w:rPr>
              <w:t>（一）总经理（1人）</w:t>
            </w:r>
          </w:p>
          <w:p>
            <w:pPr>
              <w:pStyle w:val="null3"/>
            </w:pPr>
            <w:r>
              <w:rPr>
                <w:rFonts w:ascii="仿宋_GB2312" w:hAnsi="仿宋_GB2312" w:cs="仿宋_GB2312" w:eastAsia="仿宋_GB2312"/>
              </w:rPr>
              <w:t>大学专科及以上学历，具备大型体育场馆运行管理经验；熟悉场馆运行设施设备及运行保障系统，具有优秀的团队管理能力、沟通协调能力以及应急处突能力。</w:t>
            </w:r>
          </w:p>
          <w:p>
            <w:pPr>
              <w:pStyle w:val="null3"/>
            </w:pPr>
            <w:r>
              <w:rPr>
                <w:rFonts w:ascii="仿宋_GB2312" w:hAnsi="仿宋_GB2312" w:cs="仿宋_GB2312" w:eastAsia="仿宋_GB2312"/>
              </w:rPr>
              <w:t>（二）接待（2人）</w:t>
            </w:r>
          </w:p>
          <w:p>
            <w:pPr>
              <w:pStyle w:val="null3"/>
            </w:pPr>
            <w:r>
              <w:rPr>
                <w:rFonts w:ascii="仿宋_GB2312" w:hAnsi="仿宋_GB2312" w:cs="仿宋_GB2312" w:eastAsia="仿宋_GB2312"/>
              </w:rPr>
              <w:t>大学专科及以上学历，1年以上健身场馆服务工作经验，熟悉日常行政接待、熟练掌握办公自动化系统，具有一定的文字写作等。</w:t>
            </w:r>
          </w:p>
          <w:p>
            <w:pPr>
              <w:pStyle w:val="null3"/>
            </w:pPr>
            <w:r>
              <w:rPr>
                <w:rFonts w:ascii="仿宋_GB2312" w:hAnsi="仿宋_GB2312" w:cs="仿宋_GB2312" w:eastAsia="仿宋_GB2312"/>
              </w:rPr>
              <w:t>（三）水电维护（3人）</w:t>
            </w:r>
          </w:p>
          <w:p>
            <w:pPr>
              <w:pStyle w:val="null3"/>
            </w:pPr>
            <w:r>
              <w:rPr>
                <w:rFonts w:ascii="仿宋_GB2312" w:hAnsi="仿宋_GB2312" w:cs="仿宋_GB2312" w:eastAsia="仿宋_GB2312"/>
              </w:rPr>
              <w:t>中专及以上学历，具有陕西省应急管理厅签发的《电工特种作业操作证》证书，具有强电系统、电气设备、暖通设备等维护工作经验，能够熟练操控电力设备。具有独立工作能力。</w:t>
            </w:r>
          </w:p>
          <w:p>
            <w:pPr>
              <w:pStyle w:val="null3"/>
            </w:pPr>
            <w:r>
              <w:rPr>
                <w:rFonts w:ascii="仿宋_GB2312" w:hAnsi="仿宋_GB2312" w:cs="仿宋_GB2312" w:eastAsia="仿宋_GB2312"/>
              </w:rPr>
              <w:t>（四）救生员（4人）</w:t>
            </w:r>
          </w:p>
          <w:p>
            <w:pPr>
              <w:pStyle w:val="null3"/>
            </w:pPr>
            <w:r>
              <w:rPr>
                <w:rFonts w:ascii="仿宋_GB2312" w:hAnsi="仿宋_GB2312" w:cs="仿宋_GB2312" w:eastAsia="仿宋_GB2312"/>
              </w:rPr>
              <w:t>中专及以上学历，具有国家救生员资格证书，具备泳池救生、泳池日常水质管理和泳池卫生监管的技能和3年以上作经验。</w:t>
            </w:r>
          </w:p>
          <w:p>
            <w:pPr>
              <w:pStyle w:val="null3"/>
            </w:pPr>
            <w:r>
              <w:rPr>
                <w:rFonts w:ascii="仿宋_GB2312" w:hAnsi="仿宋_GB2312" w:cs="仿宋_GB2312" w:eastAsia="仿宋_GB2312"/>
              </w:rPr>
              <w:t>（五）国民体质监测（3人）</w:t>
            </w:r>
          </w:p>
          <w:p>
            <w:pPr>
              <w:pStyle w:val="null3"/>
            </w:pPr>
            <w:r>
              <w:rPr>
                <w:rFonts w:ascii="仿宋_GB2312" w:hAnsi="仿宋_GB2312" w:cs="仿宋_GB2312" w:eastAsia="仿宋_GB2312"/>
              </w:rPr>
              <w:t>大学专科及以上学历，具有体育相关专业或体育行业3年以上工作经历，熟练掌握办公自动化系统，熟悉行政接待、商务礼仪、客户服务等方面业务。</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西安市伞塔路综合健身中心体育场馆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第一个月按实结算，成交供应商在接受采购人的每一笔付款前，应向采购人开具相应金额的发票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第二个月按实结算，成交供应商在接受采购人的每一笔付款前，应向采购人开具相应金额的发票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第三个月按实结算，成交供应商在接受采购人的每一笔付款前，应向采购人开具相应金额的发票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第四个月按实结算，成交供应商在接受采购人的每一笔付款前，应向采购人开具相应金额的发票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第五个月按实结算，成交供应商在接受采购人的每一笔付款前，应向采购人开具相应金额的发票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第六个月按实结算，成交供应商在接受采购人的每一笔付款前，应向采购人开具相应金额的发票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第七个月按实结算，成交供应商在接受采购人的每一笔付款前，应向采购人开具相应金额的发票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第八个月按实结算，成交供应商在接受采购人的每一笔付款前，应向采购人开具相应金额的发票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第九个月按实结算，成交供应商在接受采购人的每一笔付款前，应向采购人开具相应金额的发票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第十个月按实结算，成交供应商在接受采购人的每一笔付款前，应向采购人开具相应金额的发票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第十一个月按实结算，成交供应商在接受采购人的每一笔付款前，应向采购人开具相应金额的发票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第十二个月按实结算，成交供应商在接受采购人的每一笔付款前，应向采购人开具相应金额的发票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1.成交供应商在领取成交通知书前提供纸质版响应文件正本壹份、副本贰份。 2.其他需要落实的政府采购政策 1）《政府采购促进中小企业发展管理办法》（财库﹝2020﹞46号）； 2）《财政部司法部关于政府采购支持监狱企业发展有关问题的通知》（财库〔20 14〕68号）； 3）《国务院办公厅关于建立政府强制采购节能产品制度的通知》（国办发〔2007〕 51号）； 4）《关于调整优化节能产品、环境标志产品政府采购执行机制的通知》（财库〔 2019〕9号）； 5）《关于印发环境标志产品政府采购品目清单的通知》（财库〔2019〕18号）； 6）《关于印发节能产品政府采购品目清单的通知》（财库〔2019〕19号）； 7）《三部门联合发布关于促进残疾人就业政府采购政策的通知》（财库〔2017〕 141号）； 8）《财政部发展改革委生态环境部市场监管总局关于调整优化节能产品、环境标 志产品政府采购执行机制的通知》（财库〔2019〕9号）； 9）《财政部农业农村部国家乡村振兴局关于运用政府采购政策支持乡村产业振兴 的通知》（财库〔2022〕19号）； 10）《陕西省财政厅关于加快推进我省中小企业政府采购信用融资工作的通知》 （陕财办采〔2020〕15号）； 11）《西安市财政局关于促进政府采购公平竞争优化营商环境的通知》（市财函 〔2022〕431号）； 12)《关于深入开展政府采购脱贫地区农副产品工作推进乡村产业振兴的实施意见》 的通知（财库〔2022〕20号）； 13）其他需要落实的政府采购政策。3.项目执行过程中，供应商对采购人或代理机构的质疑答复不满意，或者采购人或代理机构未在规定期限内作出答复的，可以在答复期满后15个工作日内向同级财政部门提起投诉。除线下书面投诉外，鼓励各供应商优先选择便捷的电子化投诉方式，电子化投诉流程参照《陕西省财政厅关于在全省开展电子化投诉工作有关事项的通知》(陕财办采函(2022)15号)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(1)具有独立承担民事责任能力的法人、其他组织或自然人，并出具合法有效的相关证明材料。供应商需在项目电子化交易系统中按要求上传相应证明文件并进行电子签章。 (2)提供2024或2025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 (3)提供2025年4月至今已缴纳的1个月的纳税证明或完税证明，依法免税的单位应提供相关证明材料。此项可提供基本资格条件承诺函。供应商需在项目电子化交易系统中按要求上传相应证明文件并进行电子签章。 (4)提供2025年4月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 (5)提供具有履行合同所必需的设备和专业技术能力的承诺。此项可提供基本资格条件承诺函。供应商需在项目电子化交易系统中按要求上传相应证明文件并进行电子签章。(6)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参与的供应商服务全部由符合政策要求的中小微企业承接。（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递交响应文件截止时间前在“信用中国”网站（www.creditchina.gov.cn）上被列入失信被执行人、重大税收违法失信主体和中国政府采购网（www.ccgp.gov.cn）被列入政府采购严重违法失信行为记录名单的，不得参加投标；</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1、报价唯一；2、报价货币符合磋商文件要求;3、未超出磋商文件规定的限价。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从递交响应文件的截止之日起算不少于90天</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针对本项目提供具体可行的服务方案，包括但不限于①服务方案；②本项目重点、难点的分析；③考核机制；④协调组织措施；⑤制定档案资料管理和移交工作制度。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上述3项评审内容全部满足评审标准得40分，每有一个评审内容缺项扣8分，每有一项评审内容存在缺陷，扣（0-8）分，扣完为止。 说明：缺陷是指内容没有结合项目实际需求、虽有内容但不完善、不全面、内容表述前后不一致、套用其他项目方案或与项目需求不匹配及其他不利于项目实施的等任意一种情形。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服务质量控制措施及承诺</w:t>
            </w:r>
          </w:p>
        </w:tc>
        <w:tc>
          <w:tcPr>
            <w:tcW w:type="dxa" w:w="2492"/>
          </w:tcPr>
          <w:p>
            <w:pPr>
              <w:pStyle w:val="null3"/>
            </w:pPr>
            <w:r>
              <w:rPr>
                <w:rFonts w:ascii="仿宋_GB2312" w:hAnsi="仿宋_GB2312" w:cs="仿宋_GB2312" w:eastAsia="仿宋_GB2312"/>
              </w:rPr>
              <w:t>一、评审内容 针对本项目提供具体可行的服务质量控制措施及承诺，包括但不限于①培训方案；②有利于本项目实施的服务承诺；③质量保证措施。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上述3项评审内容全部满足评审标准得15分，每有一个评审内容缺项扣5分，每有一项评审内容存在缺陷，扣（0-5）分，扣完为止。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 针对本项目提供具体可行的团队配置方案，包括但不限于①团队人员架构；②岗位人员配置合理，有丰富的项目经验；③团队人员管理制度。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上述3项评审内容全部满足评审标准得15分，每有一个评审内容缺项扣5分，每有一项评审内容存在缺陷，扣（0-5）分，扣完为止。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针对本项目提供具体可行的应急方案，包括但不限于①发生故障或事故时的应急方案；②劳务纠纷；③工伤处置预案。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上述3项评审内容全部满足评审标准得15分，每有一个评审内容缺项扣5分，每有一项评审内容存在缺陷，扣（0-5）分，扣完为止。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为了更好的保障本项目的服务质量及项目的顺利实施，供应商根据项目实际情况提供合理化建议。内容详细，具有较强针对性，得2分；内容笼统，没有对其观点展开论述，得1分；内容有缺陷（内容与项目无关）或只有标题没有实质性内容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供应商具有2023年1月至今的同类业绩证明文件（以合同签订时间为准），每提供一个得1分，满分3分。 注：响应文件中附加盖供应商公章的合同复印件。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满足磋商文件要求且响应报价最低的供应商的价格为评标基准价，其价格分为满分。其他供应商的价格分统一按照下列公式计算：响应报价得分=（评标基准价/响应报价）×价格权值×100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