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版本号：JXRC-26032520260408001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北大街院区中央空调管道更换项目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JXRC-260325</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北大街院区中央空调管道更换项目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JXRC-260325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北大街院区中央空调管道更换项目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采购包1：外科楼1-4楼、手术楼1-5楼中央空调管道使用时间超过10年，夏季制冷及冬季供暖均需使用。部分管道劳损和锈蚀严重，如出现漏水和大面积爆裂需更换。 采购包2：北大街院区北院检验科1-2楼中央空调管道使用超过10年，夏季制冷多次漏水，破裂。检验科室内有贵重设备，漏水损坏风险高，需重新设计和安装冷水管及风机盘管。现申请更换检验科1-2楼中央空调系统管道。</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采购包1（北大街院区外科楼和手术楼中央空调管道更换）：属于专门面向中小企业采购。</w:t>
      </w:r>
    </w:p>
    <w:p>
      <w:pPr>
        <w:pStyle w:val="null3"/>
      </w:pPr>
      <w:r>
        <w:rPr>
          <w:rFonts w:ascii="仿宋_GB2312" w:hAnsi="仿宋_GB2312" w:cs="仿宋_GB2312" w:eastAsia="仿宋_GB2312"/>
        </w:rPr>
        <w:t>采购包2（北大街院区北院检验科1-2楼中央空调管道更换）：属于专门面向中小企业采购。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授权书：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p>
      <w:pPr>
        <w:pStyle w:val="null3"/>
      </w:pPr>
      <w:r>
        <w:rPr>
          <w:rFonts w:ascii="仿宋_GB2312" w:hAnsi="仿宋_GB2312" w:cs="仿宋_GB2312" w:eastAsia="仿宋_GB2312"/>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3、供应商资质：供应商具备建筑机电安装工程专业承包二级及以上资质，并取得有效的安全生产许可证；并进行电子签章。</w:t>
      </w:r>
    </w:p>
    <w:p>
      <w:pPr>
        <w:pStyle w:val="null3"/>
      </w:pPr>
      <w:r>
        <w:rPr>
          <w:rFonts w:ascii="仿宋_GB2312" w:hAnsi="仿宋_GB2312" w:cs="仿宋_GB2312" w:eastAsia="仿宋_GB2312"/>
        </w:rPr>
        <w:t>4、拟派项目经理资格：拟派项目经理须具有建设行政主管部门核发的机电工程专业二级及以上注册建造师执业资格及有效的安全生产考核合格证书（B证），在本单位注册（并提供项目经理截止开标前近三个月在本公司的社会保障资金缴纳证明）且未担任其他在建工程项目的项目负责人，无不良信用记录，提供无在建工程承诺书；并进行电子签章。</w:t>
      </w:r>
    </w:p>
    <w:p>
      <w:pPr>
        <w:pStyle w:val="null3"/>
      </w:pPr>
      <w:r>
        <w:rPr>
          <w:rFonts w:ascii="仿宋_GB2312" w:hAnsi="仿宋_GB2312" w:cs="仿宋_GB2312" w:eastAsia="仿宋_GB2312"/>
        </w:rPr>
        <w:t>5、财务状况证明：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p>
      <w:pPr>
        <w:pStyle w:val="null3"/>
      </w:pPr>
      <w:r>
        <w:rPr>
          <w:rFonts w:ascii="仿宋_GB2312" w:hAnsi="仿宋_GB2312" w:cs="仿宋_GB2312" w:eastAsia="仿宋_GB2312"/>
        </w:rPr>
        <w:t>6、纳税证明：法人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p>
      <w:pPr>
        <w:pStyle w:val="null3"/>
      </w:pPr>
      <w:r>
        <w:rPr>
          <w:rFonts w:ascii="仿宋_GB2312" w:hAnsi="仿宋_GB2312" w:cs="仿宋_GB2312" w:eastAsia="仿宋_GB2312"/>
        </w:rPr>
        <w:t>7、社保缴纳证明：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8、无重大违法记录：供应商须提供《无重大违法记录声明》。</w:t>
      </w:r>
    </w:p>
    <w:p>
      <w:pPr>
        <w:pStyle w:val="null3"/>
      </w:pPr>
      <w:r>
        <w:rPr>
          <w:rFonts w:ascii="仿宋_GB2312" w:hAnsi="仿宋_GB2312" w:cs="仿宋_GB2312" w:eastAsia="仿宋_GB2312"/>
        </w:rPr>
        <w:t>9、履约能力证明：供应商须提供《具有履行合同所必需的设备和专业技术能力的承诺书》。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负责人授权书：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p>
      <w:pPr>
        <w:pStyle w:val="null3"/>
      </w:pPr>
      <w:r>
        <w:rPr>
          <w:rFonts w:ascii="仿宋_GB2312" w:hAnsi="仿宋_GB2312" w:cs="仿宋_GB2312" w:eastAsia="仿宋_GB2312"/>
        </w:rPr>
        <w:t>2、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3、供应商资质：供应商具备建筑机电安装工程专业承包二级及以上资质，并取得有效的安全生产许可证；并进行电子签章。</w:t>
      </w:r>
    </w:p>
    <w:p>
      <w:pPr>
        <w:pStyle w:val="null3"/>
      </w:pPr>
      <w:r>
        <w:rPr>
          <w:rFonts w:ascii="仿宋_GB2312" w:hAnsi="仿宋_GB2312" w:cs="仿宋_GB2312" w:eastAsia="仿宋_GB2312"/>
        </w:rPr>
        <w:t>4、拟派项目经理资格：拟派项目经理须具有建设行政主管部门核发的机电工程专业二级及以上注册建造师执业资格及有效的安全生产考核合格证书（B证），在本单位注册（并提供项目经理截止开标前近三个月在本公司的社会保障资金缴纳证明）且未担任其他在建工程项目的项目负责人，无不良信用记录，提供无在建工程承诺书；并进行电子签章。</w:t>
      </w:r>
    </w:p>
    <w:p>
      <w:pPr>
        <w:pStyle w:val="null3"/>
      </w:pPr>
      <w:r>
        <w:rPr>
          <w:rFonts w:ascii="仿宋_GB2312" w:hAnsi="仿宋_GB2312" w:cs="仿宋_GB2312" w:eastAsia="仿宋_GB2312"/>
        </w:rPr>
        <w:t>5、财务状况证明：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p>
      <w:pPr>
        <w:pStyle w:val="null3"/>
      </w:pPr>
      <w:r>
        <w:rPr>
          <w:rFonts w:ascii="仿宋_GB2312" w:hAnsi="仿宋_GB2312" w:cs="仿宋_GB2312" w:eastAsia="仿宋_GB2312"/>
        </w:rPr>
        <w:t>6、纳税证明：法人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p>
      <w:pPr>
        <w:pStyle w:val="null3"/>
      </w:pPr>
      <w:r>
        <w:rPr>
          <w:rFonts w:ascii="仿宋_GB2312" w:hAnsi="仿宋_GB2312" w:cs="仿宋_GB2312" w:eastAsia="仿宋_GB2312"/>
        </w:rPr>
        <w:t>7、社保缴纳证明：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8、无重大违法记录：供应商须提供《无重大违法记录声明》。</w:t>
      </w:r>
    </w:p>
    <w:p>
      <w:pPr>
        <w:pStyle w:val="null3"/>
      </w:pPr>
      <w:r>
        <w:rPr>
          <w:rFonts w:ascii="仿宋_GB2312" w:hAnsi="仿宋_GB2312" w:cs="仿宋_GB2312" w:eastAsia="仿宋_GB2312"/>
        </w:rPr>
        <w:t>9、履约能力证明：供应商须提供《具有履行合同所必需的设备和专业技术能力的承诺书》。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采购包1：2,640,500.00元</w:t>
            </w:r>
          </w:p>
          <w:p>
            <w:pPr>
              <w:pStyle w:val="null3"/>
            </w:pPr>
            <w:r>
              <w:rPr>
                <w:rFonts w:ascii="仿宋_GB2312" w:hAnsi="仿宋_GB2312" w:cs="仿宋_GB2312" w:eastAsia="仿宋_GB2312"/>
              </w:rPr>
              <w:t>采购包2：280,000.00元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代理服务费收费标准：采购包1：参照原中华人民共和国国家计划委员会计价格[2002]1980号文下浮20%计算收取，具体收费额以采购代理机构出具的发票为准。采购包2：固定金额肆仟元整。</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踏勘时间：2026-04-17 09:30:00</w:t>
            </w:r>
          </w:p>
          <w:p>
            <w:pPr>
              <w:pStyle w:val="null3"/>
              <w:ind w:firstLine="975"/>
            </w:pPr>
            <w:r>
              <w:rPr>
                <w:rFonts w:ascii="仿宋_GB2312" w:hAnsi="仿宋_GB2312" w:cs="仿宋_GB2312" w:eastAsia="仿宋_GB2312"/>
              </w:rPr>
              <w:t>踏勘地点：西安市中心医院北院区总务科二楼动力办门口集合</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联系电话号码：18292180467</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踏勘时间：2026-04-17 09:30:00</w:t>
            </w:r>
          </w:p>
          <w:p>
            <w:pPr>
              <w:pStyle w:val="null3"/>
              <w:ind w:firstLine="975"/>
            </w:pPr>
            <w:r>
              <w:rPr>
                <w:rFonts w:ascii="仿宋_GB2312" w:hAnsi="仿宋_GB2312" w:cs="仿宋_GB2312" w:eastAsia="仿宋_GB2312"/>
              </w:rPr>
              <w:t>踏勘地点：西安市中心医院北院区总务科二楼动力办门口集合</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联系电话号码：18292180467</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按合同执行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联系人：曲慧、田颖琦</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2,640,500.00</w:t>
      </w:r>
    </w:p>
    <w:p>
      <w:pPr>
        <w:pStyle w:val="null3"/>
      </w:pPr>
      <w:r>
        <w:rPr>
          <w:rFonts w:ascii="仿宋_GB2312" w:hAnsi="仿宋_GB2312" w:cs="仿宋_GB2312" w:eastAsia="仿宋_GB2312"/>
        </w:rPr>
        <w:t>采购包最高限价（元）: 2,640,500.00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北大街院区外科楼和手术楼中央空调管道更换</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2,640,500.00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北大街院区北院检验科1-2楼中央空调管道更换</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标的名称：北大街院区外科楼和手术楼中央空调管道更换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、北大街外科楼、手术楼中央空调管道项目主要包括两栋楼中央空调供回水管道、冷凝水管道拆旧更新，施工界限如下：</w:t>
            </w:r>
          </w:p>
          <w:p>
            <w:pPr>
              <w:pStyle w:val="null3"/>
              <w:jc w:val="both"/>
            </w:pPr>
            <w:r>
              <w:rPr>
                <w:rFonts w:ascii="仿宋_GB2312" w:hAnsi="仿宋_GB2312" w:cs="仿宋_GB2312" w:eastAsia="仿宋_GB2312"/>
                <w:sz w:val="24"/>
                <w:color w:val="000000"/>
              </w:rPr>
              <w:t>①.</w:t>
            </w:r>
            <w:r>
              <w:rPr>
                <w:rFonts w:ascii="仿宋_GB2312" w:hAnsi="仿宋_GB2312" w:cs="仿宋_GB2312" w:eastAsia="仿宋_GB2312"/>
                <w:sz w:val="24"/>
                <w:color w:val="000000"/>
              </w:rPr>
              <w:t>北大街外科楼、手术楼（手术楼</w:t>
            </w:r>
            <w:r>
              <w:rPr>
                <w:rFonts w:ascii="仿宋_GB2312" w:hAnsi="仿宋_GB2312" w:cs="仿宋_GB2312" w:eastAsia="仿宋_GB2312"/>
                <w:sz w:val="24"/>
                <w:color w:val="000000"/>
              </w:rPr>
              <w:t>1</w:t>
            </w:r>
            <w:r>
              <w:rPr>
                <w:rFonts w:ascii="仿宋_GB2312" w:hAnsi="仿宋_GB2312" w:cs="仿宋_GB2312" w:eastAsia="仿宋_GB2312"/>
                <w:sz w:val="24"/>
                <w:color w:val="000000"/>
              </w:rPr>
              <w:t>层东侧介入科管道已更换，更换范围以甲方要求为准）中央空调供回水管道、冷凝水管道拆旧更换工程，从地沟到楼顶管道井内空调供回水立管，立管自各楼层风机盘管和新风机组连接管，含设备接口处管道连接；各楼层中央空调设备凝结水盘到冷凝水排水点的水平管和冷凝水排水立管；水系统阀门、过滤器、软连接、电动二通阀等。</w:t>
            </w:r>
          </w:p>
          <w:p>
            <w:pPr>
              <w:pStyle w:val="null3"/>
              <w:jc w:val="both"/>
            </w:pPr>
            <w:r>
              <w:rPr>
                <w:rFonts w:ascii="仿宋_GB2312" w:hAnsi="仿宋_GB2312" w:cs="仿宋_GB2312" w:eastAsia="仿宋_GB2312"/>
                <w:sz w:val="24"/>
                <w:color w:val="000000"/>
              </w:rPr>
              <w:t>②.</w:t>
            </w:r>
            <w:r>
              <w:rPr>
                <w:rFonts w:ascii="仿宋_GB2312" w:hAnsi="仿宋_GB2312" w:cs="仿宋_GB2312" w:eastAsia="仿宋_GB2312"/>
                <w:sz w:val="24"/>
                <w:color w:val="000000"/>
              </w:rPr>
              <w:t>妨碍管道拆旧更新施工的装饰物和其他构建物的拆除与二次安装修复。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、具体施工工艺、施工规范、材质等要求详见本项目事前审计清单及图纸</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标的名称：北大街院区北院检验科1-2楼中央空调管道更换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1</w:t>
            </w:r>
            <w:r>
              <w:rPr>
                <w:rFonts w:ascii="仿宋_GB2312" w:hAnsi="仿宋_GB2312" w:cs="仿宋_GB2312" w:eastAsia="仿宋_GB2312"/>
                <w:sz w:val="24"/>
                <w:color w:val="000000"/>
              </w:rPr>
              <w:t>、吊顶拆除及恢复。</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color w:val="000000"/>
              </w:rPr>
              <w:t>2</w:t>
            </w:r>
            <w:r>
              <w:rPr>
                <w:rFonts w:ascii="仿宋_GB2312" w:hAnsi="仿宋_GB2312" w:cs="仿宋_GB2312" w:eastAsia="仿宋_GB2312"/>
                <w:sz w:val="24"/>
                <w:color w:val="000000"/>
              </w:rPr>
              <w:t>、更换中央空调室内管道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4"/>
                <w:color w:val="000000"/>
              </w:rPr>
              <w:t>3</w:t>
            </w:r>
            <w:r>
              <w:rPr>
                <w:rFonts w:ascii="仿宋_GB2312" w:hAnsi="仿宋_GB2312" w:cs="仿宋_GB2312" w:eastAsia="仿宋_GB2312"/>
                <w:sz w:val="24"/>
                <w:color w:val="000000"/>
              </w:rPr>
              <w:t>、更换中央空调室内冷凝水管道。</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4"/>
                <w:color w:val="000000"/>
              </w:rPr>
              <w:t>4</w:t>
            </w:r>
            <w:r>
              <w:rPr>
                <w:rFonts w:ascii="仿宋_GB2312" w:hAnsi="仿宋_GB2312" w:cs="仿宋_GB2312" w:eastAsia="仿宋_GB2312"/>
                <w:sz w:val="24"/>
                <w:color w:val="000000"/>
              </w:rPr>
              <w:t>、中央空调室内管道保温。</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4"/>
                <w:color w:val="000000"/>
              </w:rPr>
              <w:t>5</w:t>
            </w:r>
            <w:r>
              <w:rPr>
                <w:rFonts w:ascii="仿宋_GB2312" w:hAnsi="仿宋_GB2312" w:cs="仿宋_GB2312" w:eastAsia="仿宋_GB2312"/>
                <w:sz w:val="24"/>
                <w:color w:val="000000"/>
              </w:rPr>
              <w:t>、更换中央空调室内风机盘管进出水阀门、金属软接。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4"/>
                <w:color w:val="000000"/>
              </w:rPr>
              <w:t>6</w:t>
            </w:r>
            <w:r>
              <w:rPr>
                <w:rFonts w:ascii="仿宋_GB2312" w:hAnsi="仿宋_GB2312" w:cs="仿宋_GB2312" w:eastAsia="仿宋_GB2312"/>
                <w:sz w:val="24"/>
                <w:color w:val="000000"/>
              </w:rPr>
              <w:t>、加装分区控制阀门。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4"/>
                <w:color w:val="000000"/>
              </w:rPr>
              <w:t>7</w:t>
            </w:r>
            <w:r>
              <w:rPr>
                <w:rFonts w:ascii="仿宋_GB2312" w:hAnsi="仿宋_GB2312" w:cs="仿宋_GB2312" w:eastAsia="仿宋_GB2312"/>
                <w:sz w:val="24"/>
                <w:color w:val="000000"/>
              </w:rPr>
              <w:t>、施工期间对检验科设备搭设支架围栏进行安全防护。</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4"/>
                <w:color w:val="000000"/>
              </w:rPr>
              <w:t>8</w:t>
            </w:r>
            <w:r>
              <w:rPr>
                <w:rFonts w:ascii="仿宋_GB2312" w:hAnsi="仿宋_GB2312" w:cs="仿宋_GB2312" w:eastAsia="仿宋_GB2312"/>
                <w:sz w:val="24"/>
                <w:color w:val="000000"/>
              </w:rPr>
              <w:t>、拆除旧料及施工垃圾由承包方自行及时清理并外运。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现行的国家标准或国家行政部门颁布的法律法规、规章制度等。</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在施工期间，中标供应商必须注意院内人员安全，加强安全措施，并对施工人员进行安全教育。施工人员必须持证上岗。施工期间不得影响医院正常工作。</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采购包1和采购包2： 1、工程地点：西安市中心医院指定地点 2、计划工期：采购包1：60个日历日内竣工。 采购包2：35个日历日内竣工。 3、质量保修期（采购包1和采购包2）：自验收合格起之日起两年；根据成交供应商响应文件，合同未约定质保事项以《房屋建筑工程质量保修办法》为准。 自验收之日算起，按《建设工程质量管理条例》第三十二条规定：施工单位对施工中出现质量问题的建设工程或者竣工验收不合格的建设工程，应当负责返修且工期不顺延，由此产生的费用及造成的损失，成交供应商自行承担。 4、结算方式 支付方式： 采购包1和采购包2：银行转账;无预付款，项目竣工验收合格后付至合同价的80%，项目审计完成后付至审定结果的95%，自验收合格之日起两年内无质量问题，一次性付清余款。 5、中标单位在合同签订前支付本项目图纸设计费，采购包1： 50000.00 元；采购包2： 8000.00元，此费用包含在投标报价中。 6、质量保证 （一）成交供应商应保质保量按照采购人要求施工，工程完工后采购人按照国家相关技术规范要求进行验收。成交供应商若不按采购人要求施工的，采购人有权要求成交供应商停工，成交供应商应在采购人规定期限内进行整改，停工期间工期不顺延，由此产生的费用及损失，成交供应商自行承担；成交供应商累计停工超过约定工期一半天数的，视为成交供应商违约，采购人有权单方解除合同，合同自书面解除通知送达成交供应商之日解除，成交供应商除应赔偿由此给采购人造成的全部损失外，还应按照合同总价的30%承担违约金。 （二）成交供应商应妥善保护好采购人现场的设施设备及采购人提供的材料，如造成损失，成交供应商照价赔偿。 （三）未经采购人书面同意，成交供应商擅自拆改原有建筑物的结构或设备管线，由此发生的损失或事故（包括罚款），由成交供应商负责并承担全部责任。 7、违约责任 1.按《中华人民共和国民法典》中的相关条款执行。 2.未按合同要求提供，质量不能满足技术要求的，采购人会同政府采购机构有权终止合同（合同自书面通知送达成交供应商之日解除），成交供应商赔偿采购人解除合同的全部损失（包括但不限于重新采购产生的费用及其它由此造成的采购人对第三方的违约损失），并按照合同总价的30%支付违约金。同时按《中华人民共和国政府采购法》有关处罚条款报监管机构进行相应的处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企业关联关系声明函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企业关联关系声明函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残疾人福利性单位声明函 中小企业声明函 监狱企业的证明文件 企业关联关系声明函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残疾人福利性单位声明函 中小企业声明函 监狱企业的证明文件 企业关联关系声明函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供应商具备建筑机电安装工程专业承包二级及以上资质，并取得有效的安全生产许可证；并进行电子签章。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有建设行政主管部门核发的机电工程专业二级及以上注册建造师执业资格及有效的安全生产考核合格证书（B证），在本单位注册（并提供项目经理截止开标前近三个月在本公司的社会保障资金缴纳证明）且未担任其他在建工程项目的项目负责人，无不良信用记录，提供无在建工程承诺书；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tc>
        <w:tc>
          <w:tcPr>
            <w:tcW w:type="dxa" w:w="1661"/>
          </w:tcPr>
          <w:p>
            <w:pPr>
              <w:pStyle w:val="null3"/>
            </w:pPr>
            <w:r>
              <w:rPr>
                <w:rFonts w:ascii="仿宋_GB2312" w:hAnsi="仿宋_GB2312" w:cs="仿宋_GB2312" w:eastAsia="仿宋_GB2312"/>
              </w:rPr>
              <w:t>供应商基本信息 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供应商须提供《无重大违法记录声明》。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法定代表人/负责人授权书</w:t>
            </w:r>
          </w:p>
        </w:tc>
        <w:tc>
          <w:tcPr>
            <w:tcW w:type="dxa" w:w="3322"/>
          </w:tcPr>
          <w:p>
            <w:pPr>
              <w:pStyle w:val="null3"/>
            </w:pPr>
            <w:r>
              <w:rPr>
                <w:rFonts w:ascii="仿宋_GB2312" w:hAnsi="仿宋_GB2312" w:cs="仿宋_GB2312" w:eastAsia="仿宋_GB2312"/>
              </w:rPr>
              <w:t>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供应商具备建筑机电安装工程专业承包二级及以上资质，并取得有效的安全生产许可证；并进行电子签章。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w:t>
            </w:r>
          </w:p>
        </w:tc>
        <w:tc>
          <w:tcPr>
            <w:tcW w:type="dxa" w:w="3322"/>
          </w:tcPr>
          <w:p>
            <w:pPr>
              <w:pStyle w:val="null3"/>
            </w:pPr>
            <w:r>
              <w:rPr>
                <w:rFonts w:ascii="仿宋_GB2312" w:hAnsi="仿宋_GB2312" w:cs="仿宋_GB2312" w:eastAsia="仿宋_GB2312"/>
              </w:rPr>
              <w:t>拟派项目经理须具有建设行政主管部门核发的机电工程专业二级及以上注册建造师执业资格及有效的安全生产考核合格证书（B证），在本单位注册（并提供项目经理截止开标前近三个月在本公司的社会保障资金缴纳证明）且未担任其他在建工程项目的项目负责人，无不良信用记录，提供无在建工程承诺书；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审计的2024年度或2025年度完整有效的财务审计报告复印件（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tc>
        <w:tc>
          <w:tcPr>
            <w:tcW w:type="dxa" w:w="1661"/>
          </w:tcPr>
          <w:p>
            <w:pPr>
              <w:pStyle w:val="null3"/>
            </w:pPr>
            <w:r>
              <w:rPr>
                <w:rFonts w:ascii="仿宋_GB2312" w:hAnsi="仿宋_GB2312" w:cs="仿宋_GB2312" w:eastAsia="仿宋_GB2312"/>
              </w:rPr>
              <w:t>供应商基本信息 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法人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供应商须提供《无重大违法记录声明》。</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履约能力证明</w:t>
            </w:r>
          </w:p>
        </w:tc>
        <w:tc>
          <w:tcPr>
            <w:tcW w:type="dxa" w:w="3322"/>
          </w:tcPr>
          <w:p>
            <w:pPr>
              <w:pStyle w:val="null3"/>
            </w:pPr>
            <w:r>
              <w:rPr>
                <w:rFonts w:ascii="仿宋_GB2312" w:hAnsi="仿宋_GB2312" w:cs="仿宋_GB2312" w:eastAsia="仿宋_GB2312"/>
              </w:rPr>
              <w:t>供应商须提供《具有履行合同所必需的设备和专业技术能力的承诺书》。</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工程量清单-采购包1 响应文件封面 技术响应偏离表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商务响应偏离表 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参加政府采购承诺书</w:t>
            </w:r>
          </w:p>
        </w:tc>
        <w:tc>
          <w:tcPr>
            <w:tcW w:type="dxa" w:w="3322"/>
          </w:tcPr>
          <w:p>
            <w:pPr>
              <w:pStyle w:val="null3"/>
            </w:pPr>
            <w:r>
              <w:rPr>
                <w:rFonts w:ascii="仿宋_GB2312" w:hAnsi="仿宋_GB2312" w:cs="仿宋_GB2312" w:eastAsia="仿宋_GB2312"/>
              </w:rPr>
              <w:t>供应商须提供参加政府采购活动承诺书</w:t>
            </w:r>
          </w:p>
        </w:tc>
        <w:tc>
          <w:tcPr>
            <w:tcW w:type="dxa" w:w="1661"/>
          </w:tcPr>
          <w:p>
            <w:pPr>
              <w:pStyle w:val="null3"/>
            </w:pPr>
            <w:r>
              <w:rPr>
                <w:rFonts w:ascii="仿宋_GB2312" w:hAnsi="仿宋_GB2312" w:cs="仿宋_GB2312" w:eastAsia="仿宋_GB2312"/>
              </w:rPr>
              <w:t>参加政府采购承诺书</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响应文件封面 工程量清单-采购包2 技术响应偏离表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投标报价不得超过本项目最高限价</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供应商必须满足采购文件的第三章3.2商务要求和3.3其他要求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参加政府采购承诺书</w:t>
            </w:r>
          </w:p>
        </w:tc>
        <w:tc>
          <w:tcPr>
            <w:tcW w:type="dxa" w:w="3322"/>
          </w:tcPr>
          <w:p>
            <w:pPr>
              <w:pStyle w:val="null3"/>
            </w:pPr>
            <w:r>
              <w:rPr>
                <w:rFonts w:ascii="仿宋_GB2312" w:hAnsi="仿宋_GB2312" w:cs="仿宋_GB2312" w:eastAsia="仿宋_GB2312"/>
              </w:rPr>
              <w:t>供应商须提供参加政府采购活动承诺书</w:t>
            </w:r>
          </w:p>
        </w:tc>
        <w:tc>
          <w:tcPr>
            <w:tcW w:type="dxa" w:w="1661"/>
          </w:tcPr>
          <w:p>
            <w:pPr>
              <w:pStyle w:val="null3"/>
            </w:pPr>
            <w:r>
              <w:rPr>
                <w:rFonts w:ascii="仿宋_GB2312" w:hAnsi="仿宋_GB2312" w:cs="仿宋_GB2312" w:eastAsia="仿宋_GB2312"/>
              </w:rPr>
              <w:t>参加政府采购承诺书</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根据各供应商提供的总体实施方案等进行综合评审。 实施方案非常详细、完整，可行、有针对性，有利于项目实施的8分； 实施方案比较详细完整、可行，较利于项目实施的得6分； 实施方案基本可行，基本满足项目实施需要的得4分； 实施方案有缺漏项、不能完全满足项目实施需要的得2分； 实施方案内容粗略、不满足项目实施需要的得1分；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针对本项目提供具体的安全作业方案及安全配套措施进行综合评审。 方案及措施符合并优于采购人安全作业的要求得8分； 方案及措施完全符合采购人安全作业的要求得6分； 方案及措施基本符合采购人安全作业的要求得4分； 方案及措施有缺漏项，不能完全符合采购人安全作业的要求得2分； 方案及措施内容粗略、不符合采购人安全作业的要求得1分；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环境保护、文明施工措施计划</w:t>
            </w:r>
          </w:p>
        </w:tc>
        <w:tc>
          <w:tcPr>
            <w:tcW w:type="dxa" w:w="2492"/>
          </w:tcPr>
          <w:p>
            <w:pPr>
              <w:pStyle w:val="null3"/>
            </w:pPr>
            <w:r>
              <w:rPr>
                <w:rFonts w:ascii="仿宋_GB2312" w:hAnsi="仿宋_GB2312" w:cs="仿宋_GB2312" w:eastAsia="仿宋_GB2312"/>
              </w:rPr>
              <w:t>针对本项目提供的文明施工和环境保护措施计划进行综合评审。 措施计划完备齐全、合理、切实可行得8分； 措施计划完备齐全、合理、基本可行得6分； 措施计划基本满足项目需求、合理性、可行性一般得4分； 措施计划有缺漏项，合理性、可行性较差得2分； 措施计划内容粗略、可行性较差，不能保证项目质量得1分；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根据供应商制定的确保工程质量的组织措施进行综合评审。 措施计划完备齐全、合理、切实可行得7分； 措施计划完备齐全、合理、基本可行得6分； 措施计划基本满足项目需求、合理性、可行性一般得4分； 措施计划有缺漏项，合理性、可行性较差得2分； 措施计划内容粗略、可行性较差，不能保证项目质量得1分；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 机构设置合理，人员配备齐全，技术经验丰富得6分； 机构设置合理，人员配备较齐全、技术经验有欠缺得4分； 机构设置较合理、人员配备基本满足项目需求、技术经验有欠缺得2分； 机构设置不合理、人员配备不足、技术经验较差得1分；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根据供应商投入的施工机械配备和材料投入计划等进行评审。 施工机械配备齐全、合理，主要材料来源渠道证明材料完整，材料环保性好得5分； 施工机械配备较齐全，满足项目需求，主要材料来源渠道证明材料完整，材料环保性较好得4分； 施工机械配备简单，主要材料来源渠道证明材料有缺漏项，材料环保性一般得2分； 施工机械配备不足，主要材料无来源渠道证明材料，材料环保性差得1分；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确保工期的技术及组 织安排</w:t>
            </w:r>
          </w:p>
        </w:tc>
        <w:tc>
          <w:tcPr>
            <w:tcW w:type="dxa" w:w="2492"/>
          </w:tcPr>
          <w:p>
            <w:pPr>
              <w:pStyle w:val="null3"/>
            </w:pPr>
            <w:r>
              <w:rPr>
                <w:rFonts w:ascii="仿宋_GB2312" w:hAnsi="仿宋_GB2312" w:cs="仿宋_GB2312" w:eastAsia="仿宋_GB2312"/>
              </w:rPr>
              <w:t>根据供应商确保工期的技术及组 织安排进行评审。 确保工期技术组织措施总体思路清晰、合理、可执行程度强，且能很好推动项目实施得5分； 组织措施思路较清晰、可行性、合理性较强得4分； 组织措施思路较清晰、可行性、合理性一般得3分； 组织措施思路模糊、可行性、合理性一般得2分； 组织措施思路模糊、有缺漏项，不能保证项目工期得1分；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针对本项目提供可行的、并符合国家相关规范的售后保障工作服务承诺，提供售后团队人员基本信息和相关资格证书，具有详细的服务措施及对维修服务响应时限有明确的承诺。 售后服务承诺完善、团队配备科学合理、响应快速得5分； 售后服务承诺较完善、团队人员配备较合理、响应速度较快得4分； 售后服务承诺简略、团队人员配备较合理、响应速度一般得2分； 售后服务承诺有缺漏项、团队人员配备不齐全、响应速度慢得1分；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2023年3月1日起至今，供应商承担的同类项目业绩（以合同签订日期为准），每提供1份有效业绩得2分，最多得8分。 业绩要求：每个业绩须提供合同关键页（包括但不限于合同首页、项目信息页、金额页、双方签字盖章页等内容），未完整提供上述材料或所提供内容模糊不清、或不能体现符合要求的该业绩不得分。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40分。其他供应商的价格分按照下列公式计算：磋商报价得分=(磋商基准价/磋商报价)×40。计算结果最多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根据各供应商提供的总体实施方案等进行综合评审。 实施方案非常详细、完整，可行、有针对性，有利于项目实施的8分； 实施方案比较详细完整、可行，较利于项目实施的得6分； 实施方案基本可行，基本满足项目实施需要的得4分； 实施方案有缺漏项、不能完全满足项目实施需要的得2分； 实施方案内容粗略、不满足项目实施需要的得1分；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安全作业方案及安全配套措施</w:t>
            </w:r>
          </w:p>
        </w:tc>
        <w:tc>
          <w:tcPr>
            <w:tcW w:type="dxa" w:w="2492"/>
          </w:tcPr>
          <w:p>
            <w:pPr>
              <w:pStyle w:val="null3"/>
            </w:pPr>
            <w:r>
              <w:rPr>
                <w:rFonts w:ascii="仿宋_GB2312" w:hAnsi="仿宋_GB2312" w:cs="仿宋_GB2312" w:eastAsia="仿宋_GB2312"/>
              </w:rPr>
              <w:t>针对本项目提供具体的安全作业方案及安全配套措施进行综合评审。 方案及措施符合并优于采购人安全作业的要求得8分； 方案及措施完全符合采购人安全作业的要求得6分； 方案及措施基本符合采购人安全作业的要求得4分； 方案及措施有缺漏项，不能完全符合采购人安全作业的要求得2分； 方案及措施内容粗略、不符合采购人安全作业的要求得1分；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环境保护、文明施工措施计划</w:t>
            </w:r>
          </w:p>
        </w:tc>
        <w:tc>
          <w:tcPr>
            <w:tcW w:type="dxa" w:w="2492"/>
          </w:tcPr>
          <w:p>
            <w:pPr>
              <w:pStyle w:val="null3"/>
            </w:pPr>
            <w:r>
              <w:rPr>
                <w:rFonts w:ascii="仿宋_GB2312" w:hAnsi="仿宋_GB2312" w:cs="仿宋_GB2312" w:eastAsia="仿宋_GB2312"/>
              </w:rPr>
              <w:t>针对本项目提供的文明施工和环境保护措施计划进行综合评审。 措施计划完备齐全、合理、切实可行得8分； 措施计划完备齐全、合理、基本可行得6分； 措施计划基本满足项目需求、合理性、可行性一般得4分； 措施计划有缺漏项，合理性、可行性较差得2分； 措施计划内容粗略、可行性较差，不能保证项目质量得1分； 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根据供应商制定的确保工程质量的组织措施进行综合评审。 措施计划完备齐全、合理、切实可行得7分； 措施计划完备齐全、合理、基本可行得6分； 措施计划基本满足项目需求、合理性、可行性一般得4分； 措施计划有缺漏项，合理性、可行性较差得2分； 措施计划内容粗略、可行性较差，不能保证项目质量得1分； 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项目组织管理机构</w:t>
            </w:r>
          </w:p>
        </w:tc>
        <w:tc>
          <w:tcPr>
            <w:tcW w:type="dxa" w:w="2492"/>
          </w:tcPr>
          <w:p>
            <w:pPr>
              <w:pStyle w:val="null3"/>
            </w:pPr>
            <w:r>
              <w:rPr>
                <w:rFonts w:ascii="仿宋_GB2312" w:hAnsi="仿宋_GB2312" w:cs="仿宋_GB2312" w:eastAsia="仿宋_GB2312"/>
              </w:rPr>
              <w:t>针对本项目的项目组织管理机构配备进行综合评审。 机构设置合理，人员配备齐全，技术经验丰富得6分； 机构设置合理，人员配备较齐全、技术经验有欠缺得4分； 机构设置较合理、人员配备基本满足项目需求、技术经验有欠缺得2分； 机构设置不合理、人员配备不足、技术经验较差得1分；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根据供应商投入的施工机械配备和材料投入计划等进行评审。 施工机械配备齐全、合理，主要材料来源渠道证明材料完整，材料环保性好得5分； 施工机械配备较齐全，满足项目需求，主要材料来源渠道证明材料完整，材料环保性较好得4分； 施工机械配备简单，主要材料来源渠道证明材料有缺漏项，材料环保性一般得2分； 施工机械配备不足，主要材料无来源渠道证明材料，材料环保性差得1分；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确保工期的技术及组 织安排</w:t>
            </w:r>
          </w:p>
        </w:tc>
        <w:tc>
          <w:tcPr>
            <w:tcW w:type="dxa" w:w="2492"/>
          </w:tcPr>
          <w:p>
            <w:pPr>
              <w:pStyle w:val="null3"/>
            </w:pPr>
            <w:r>
              <w:rPr>
                <w:rFonts w:ascii="仿宋_GB2312" w:hAnsi="仿宋_GB2312" w:cs="仿宋_GB2312" w:eastAsia="仿宋_GB2312"/>
              </w:rPr>
              <w:t>根据供应商确保工期的技术及组 织安排进行评审。 确保工期技术组织措施总体思路清晰、合理、可执行程度强，且能很好推动项目实施得5分； 组织措施思路较清晰、可行性、合理性较强得4分； 组织措施思路较清晰、可行性、合理性一般得3分； 组织措施思路模糊、可行性、合理性一般得2分； 组织措施思路模糊、有缺漏项，不能保证项目工期得1分；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针对本项目提供可行的、并符合国家相关规范的售后保障工作服务承诺，提供售后团队人员基本信息和相关资格证书，具有详细的服务措施及对维修服务响应时限有明确的承诺。 售后服务承诺完善、团队配备科学合理、响应快速得5分； 售后服务承诺较完善、团队人员配备较合理、响应速度较快得4分； 售后服务承诺简略、团队人员配备较合理、响应速度一般得2分； 售后服务承诺有缺漏项、团队人员配备不齐全、响应速度慢得1分； 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2023年3月1日起至今，供应商承担的同类项目业绩（以合同签订日期为准），每提供1份有效业绩得2分，最多得8分。 业绩要求：每个业绩须提供合同关键页（包括但不限于合同首页、项目信息页、金额页、双方签字盖章页等内容），未完整提供上述材料或所提供内容模糊不清、或不能体现符合要求的该业绩不得分。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价格分采用最低价优先法，即实质性满足磋商文件要求且最终磋商报价最低的为磋商基准价，其价格分为满分40分。其他供应商的价格分按照下列公式计算：磋商报价得分=(磋商基准价/磋商报价)×40。计算结果最多保留两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详见附件：工程量清单-采购包1</w:t>
      </w:r>
    </w:p>
    <w:p>
      <w:pPr>
        <w:pStyle w:val="null3"/>
        <w:ind w:firstLine="960"/>
      </w:pPr>
      <w:r>
        <w:rPr>
          <w:rFonts w:ascii="仿宋_GB2312" w:hAnsi="仿宋_GB2312" w:cs="仿宋_GB2312" w:eastAsia="仿宋_GB2312"/>
        </w:rPr>
        <w:t>详见附件：参加政府采购承诺书</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详见附件：磋商方案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详见附件：参加政府采购承诺书</w:t>
      </w:r>
    </w:p>
    <w:p>
      <w:pPr>
        <w:pStyle w:val="null3"/>
        <w:ind w:firstLine="960"/>
      </w:pPr>
      <w:r>
        <w:rPr>
          <w:rFonts w:ascii="仿宋_GB2312" w:hAnsi="仿宋_GB2312" w:cs="仿宋_GB2312" w:eastAsia="仿宋_GB2312"/>
        </w:rPr>
        <w:t>详见附件：工程量清单-采购包2</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详见附件：供应商资格</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详见附件：磋商方案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