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版本号：ZTZB-26-00320260408001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公共就业服务专项技能提升活动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ZTZB-26-003</w:t>
      </w:r>
      <w:r>
        <w:br/>
      </w:r>
      <w:r>
        <w:br/>
      </w:r>
      <w:r>
        <w:br/>
      </w:r>
    </w:p>
    <w:p>
      <w:pPr>
        <w:pStyle w:val="null3"/>
        <w:jc w:val="center"/>
        <w:outlineLvl w:val="2"/>
      </w:pPr>
      <w:r>
        <w:rPr>
          <w:rFonts w:ascii="仿宋_GB2312" w:hAnsi="仿宋_GB2312" w:cs="仿宋_GB2312" w:eastAsia="仿宋_GB2312"/>
          <w:sz w:val="28"/>
          <w:b/>
        </w:rPr>
        <w:t>西安市就业服务中心</w:t>
      </w:r>
    </w:p>
    <w:p>
      <w:pPr>
        <w:pStyle w:val="null3"/>
        <w:jc w:val="center"/>
        <w:outlineLvl w:val="2"/>
      </w:pPr>
      <w:r>
        <w:rPr>
          <w:rFonts w:ascii="仿宋_GB2312" w:hAnsi="仿宋_GB2312" w:cs="仿宋_GB2312" w:eastAsia="仿宋_GB2312"/>
          <w:sz w:val="28"/>
          <w:b/>
        </w:rPr>
        <w:t>陕西中腾华盛项目管理有限公司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陕西中腾华盛项目管理有限公司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西安市就业服务中心</w:t>
      </w:r>
      <w:r>
        <w:rPr>
          <w:rFonts w:ascii="仿宋_GB2312" w:hAnsi="仿宋_GB2312" w:cs="仿宋_GB2312" w:eastAsia="仿宋_GB2312"/>
        </w:rPr>
        <w:t>委托，拟对</w:t>
      </w:r>
      <w:r>
        <w:rPr>
          <w:rFonts w:ascii="仿宋_GB2312" w:hAnsi="仿宋_GB2312" w:cs="仿宋_GB2312" w:eastAsia="仿宋_GB2312"/>
        </w:rPr>
        <w:t>公共就业服务专项技能提升活动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公共就业服务专项技能提升活动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公共就业服务专项技能提升活动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采购包1（公共就业服务专项技能提升活动）：属于专门面向中小企业采购。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pPr>
      <w:r>
        <w:rPr>
          <w:rFonts w:ascii="仿宋_GB2312" w:hAnsi="仿宋_GB2312" w:cs="仿宋_GB2312" w:eastAsia="仿宋_GB2312"/>
        </w:rPr>
        <w:t>2、信誉截图：供应商未被列入信用中国网站(www.creditchina.gov.cn)“失信被执行人、重大税收违法失信主体”；不处于中国政府采购网(www.ccgp.gov.cn)“政府采购严重违法失信行为信息记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西安市就业服务中心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陕西省西安市雁塔区建路28A社保大厦5008</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陕西中腾华盛项目管理有限公司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陕西省西安市莲湖区南二环西段180号财富中心二期D座2203室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029-81777703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不足伍仟元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西安市就业服务中心</w:t>
      </w:r>
      <w:r>
        <w:rPr>
          <w:rFonts w:ascii="仿宋_GB2312" w:hAnsi="仿宋_GB2312" w:cs="仿宋_GB2312" w:eastAsia="仿宋_GB2312"/>
        </w:rPr>
        <w:t>和</w:t>
      </w:r>
      <w:r>
        <w:rPr>
          <w:rFonts w:ascii="仿宋_GB2312" w:hAnsi="仿宋_GB2312" w:cs="仿宋_GB2312" w:eastAsia="仿宋_GB2312"/>
        </w:rPr>
        <w:t>陕西中腾华盛项目管理有限公司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西安市就业服务中心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陕西中腾华盛项目管理有限公司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西安市就业服务中心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陕西中腾华盛项目管理有限公司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陕西中腾华盛项目管理有限公司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联系人：徐超</w:t>
      </w:r>
    </w:p>
    <w:p>
      <w:pPr>
        <w:pStyle w:val="null3"/>
      </w:pPr>
      <w:r>
        <w:rPr>
          <w:rFonts w:ascii="仿宋_GB2312" w:hAnsi="仿宋_GB2312" w:cs="仿宋_GB2312" w:eastAsia="仿宋_GB2312"/>
        </w:rPr>
        <w:t>联系电话：029-81777703</w:t>
      </w:r>
    </w:p>
    <w:p>
      <w:pPr>
        <w:pStyle w:val="null3"/>
      </w:pPr>
      <w:r>
        <w:rPr>
          <w:rFonts w:ascii="仿宋_GB2312" w:hAnsi="仿宋_GB2312" w:cs="仿宋_GB2312" w:eastAsia="仿宋_GB2312"/>
        </w:rPr>
        <w:t>地址：陕西省西安市莲湖区南二环西段180号财富中心二期D座2203室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公共就业服务专项技能提升活动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公共就业服务专项技能提升活动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标的名称：公共就业服务专项技能提升活动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b/>
              </w:rPr>
              <w:t>一、职业指导师队伍建设活动</w:t>
            </w:r>
          </w:p>
          <w:p>
            <w:pPr>
              <w:pStyle w:val="null3"/>
              <w:ind w:firstLine="482"/>
              <w:jc w:val="both"/>
            </w:pPr>
            <w:r>
              <w:rPr>
                <w:rFonts w:ascii="仿宋_GB2312" w:hAnsi="仿宋_GB2312" w:cs="仿宋_GB2312" w:eastAsia="仿宋_GB2312"/>
                <w:b/>
              </w:rPr>
              <w:t>（一）项目总目标</w:t>
            </w:r>
          </w:p>
          <w:p>
            <w:pPr>
              <w:pStyle w:val="null3"/>
              <w:ind w:firstLine="480"/>
              <w:jc w:val="both"/>
            </w:pPr>
            <w:r>
              <w:rPr>
                <w:rFonts w:ascii="仿宋_GB2312" w:hAnsi="仿宋_GB2312" w:cs="仿宋_GB2312" w:eastAsia="仿宋_GB2312"/>
              </w:rPr>
              <w:t>培养一批理论知识扎实、实操技能过关的职业指导师，使职业指导管理体系更加健全、人才培养体系更加完善、服务水平更加专业。</w:t>
            </w:r>
          </w:p>
          <w:p>
            <w:pPr>
              <w:pStyle w:val="null3"/>
              <w:ind w:firstLine="482"/>
              <w:jc w:val="both"/>
            </w:pPr>
            <w:r>
              <w:rPr>
                <w:rFonts w:ascii="仿宋_GB2312" w:hAnsi="仿宋_GB2312" w:cs="仿宋_GB2312" w:eastAsia="仿宋_GB2312"/>
                <w:b/>
              </w:rPr>
              <w:t>（二）队伍建设要求</w:t>
            </w:r>
          </w:p>
          <w:p>
            <w:pPr>
              <w:pStyle w:val="null3"/>
              <w:ind w:firstLine="480"/>
              <w:jc w:val="both"/>
            </w:pPr>
            <w:r>
              <w:rPr>
                <w:rFonts w:ascii="仿宋_GB2312" w:hAnsi="仿宋_GB2312" w:cs="仿宋_GB2312" w:eastAsia="仿宋_GB2312"/>
              </w:rPr>
              <w:t>系统化建设方案：投标人须提供完整的实施方案，包括但不限于：</w:t>
            </w:r>
          </w:p>
          <w:p>
            <w:pPr>
              <w:pStyle w:val="null3"/>
              <w:ind w:firstLine="480"/>
              <w:jc w:val="both"/>
            </w:pPr>
            <w:r>
              <w:rPr>
                <w:rFonts w:ascii="仿宋_GB2312" w:hAnsi="仿宋_GB2312" w:cs="仿宋_GB2312" w:eastAsia="仿宋_GB2312"/>
              </w:rPr>
              <w:t>1.学习大纲：覆盖国家职业技能标准中对于职业指导师的工作要求。</w:t>
            </w:r>
          </w:p>
          <w:p>
            <w:pPr>
              <w:pStyle w:val="null3"/>
              <w:ind w:firstLine="480"/>
              <w:jc w:val="both"/>
            </w:pPr>
            <w:r>
              <w:rPr>
                <w:rFonts w:ascii="仿宋_GB2312" w:hAnsi="仿宋_GB2312" w:cs="仿宋_GB2312" w:eastAsia="仿宋_GB2312"/>
              </w:rPr>
              <w:t>2.师资团队：核心讲师需持有二级职业指导师以上资格证书（含二级），或具有5年以上教学或实务经验；其它讲师为相关就业指导工作骨干或高校相关领域课程教师。</w:t>
            </w:r>
          </w:p>
          <w:p>
            <w:pPr>
              <w:pStyle w:val="null3"/>
              <w:ind w:firstLine="480"/>
              <w:jc w:val="both"/>
            </w:pPr>
            <w:r>
              <w:rPr>
                <w:rFonts w:ascii="仿宋_GB2312" w:hAnsi="仿宋_GB2312" w:cs="仿宋_GB2312" w:eastAsia="仿宋_GB2312"/>
              </w:rPr>
              <w:t>3.整体活动时间不少于2天，按照学习大纲合理安排时间。</w:t>
            </w:r>
          </w:p>
          <w:p>
            <w:pPr>
              <w:pStyle w:val="null3"/>
              <w:ind w:firstLine="480"/>
              <w:jc w:val="both"/>
            </w:pPr>
            <w:r>
              <w:rPr>
                <w:rFonts w:ascii="仿宋_GB2312" w:hAnsi="仿宋_GB2312" w:cs="仿宋_GB2312" w:eastAsia="仿宋_GB2312"/>
              </w:rPr>
              <w:t>4.活动地点：由采购人提供，可容纳约60人。</w:t>
            </w:r>
          </w:p>
          <w:p>
            <w:pPr>
              <w:pStyle w:val="null3"/>
              <w:ind w:firstLine="480"/>
              <w:jc w:val="both"/>
            </w:pPr>
            <w:r>
              <w:rPr>
                <w:rFonts w:ascii="仿宋_GB2312" w:hAnsi="仿宋_GB2312" w:cs="仿宋_GB2312" w:eastAsia="仿宋_GB2312"/>
              </w:rPr>
              <w:t>5.参与对象：公共就业服务工作人员</w:t>
            </w:r>
          </w:p>
          <w:p>
            <w:pPr>
              <w:pStyle w:val="null3"/>
              <w:ind w:firstLine="482"/>
              <w:jc w:val="left"/>
            </w:pPr>
            <w:r>
              <w:rPr>
                <w:rFonts w:ascii="仿宋_GB2312" w:hAnsi="仿宋_GB2312" w:cs="仿宋_GB2312" w:eastAsia="仿宋_GB2312"/>
                <w:b/>
              </w:rPr>
              <w:t>（三）教学资源要求</w:t>
            </w:r>
          </w:p>
          <w:p>
            <w:pPr>
              <w:pStyle w:val="null3"/>
              <w:ind w:firstLine="480"/>
              <w:jc w:val="left"/>
            </w:pPr>
            <w:r>
              <w:rPr>
                <w:rFonts w:ascii="仿宋_GB2312" w:hAnsi="仿宋_GB2312" w:cs="仿宋_GB2312" w:eastAsia="仿宋_GB2312"/>
              </w:rPr>
              <w:t>为帮助学员了解职业指导师的前沿动态，应提供一套练习题库，题型需全面覆盖职业指导实践中常见的各类题型（如单选、多选、案例分析、实务操作题等），并确保练习题目根据每年行业动态进行更新。</w:t>
            </w:r>
          </w:p>
          <w:p>
            <w:pPr>
              <w:pStyle w:val="null3"/>
              <w:ind w:firstLine="482"/>
              <w:jc w:val="left"/>
            </w:pPr>
            <w:r>
              <w:rPr>
                <w:rFonts w:ascii="仿宋_GB2312" w:hAnsi="仿宋_GB2312" w:cs="仿宋_GB2312" w:eastAsia="仿宋_GB2312"/>
                <w:b/>
              </w:rPr>
              <w:t>二、基层公共就业服务人员能力提升活动</w:t>
            </w:r>
          </w:p>
          <w:p>
            <w:pPr>
              <w:pStyle w:val="null3"/>
              <w:ind w:firstLine="482"/>
              <w:jc w:val="both"/>
            </w:pPr>
            <w:r>
              <w:rPr>
                <w:rFonts w:ascii="仿宋_GB2312" w:hAnsi="仿宋_GB2312" w:cs="仿宋_GB2312" w:eastAsia="仿宋_GB2312"/>
                <w:b/>
              </w:rPr>
              <w:t>（一）项目总目标</w:t>
            </w:r>
          </w:p>
          <w:p>
            <w:pPr>
              <w:pStyle w:val="null3"/>
              <w:ind w:firstLine="480"/>
              <w:jc w:val="both"/>
            </w:pPr>
            <w:r>
              <w:rPr>
                <w:rFonts w:ascii="仿宋_GB2312" w:hAnsi="仿宋_GB2312" w:cs="仿宋_GB2312" w:eastAsia="仿宋_GB2312"/>
              </w:rPr>
              <w:t>全面提升我市公共就业服务队伍的政策理解能力、业务经办水平和解决实际问题的综合能力，采取“学、练、评”相结合的模式，围绕就业创业、人才服务、职业指导等核心业务内容，组织开展系统性、针对性的能力提升训练，系统化推进队伍建设。</w:t>
            </w:r>
          </w:p>
          <w:p>
            <w:pPr>
              <w:pStyle w:val="null3"/>
              <w:ind w:firstLine="482"/>
              <w:jc w:val="both"/>
            </w:pPr>
            <w:r>
              <w:rPr>
                <w:rFonts w:ascii="仿宋_GB2312" w:hAnsi="仿宋_GB2312" w:cs="仿宋_GB2312" w:eastAsia="仿宋_GB2312"/>
                <w:b/>
              </w:rPr>
              <w:t>（二）师资团队要求</w:t>
            </w:r>
          </w:p>
          <w:p>
            <w:pPr>
              <w:pStyle w:val="null3"/>
              <w:ind w:firstLine="480"/>
              <w:jc w:val="both"/>
            </w:pPr>
            <w:r>
              <w:rPr>
                <w:rFonts w:ascii="仿宋_GB2312" w:hAnsi="仿宋_GB2312" w:cs="仿宋_GB2312" w:eastAsia="仿宋_GB2312"/>
              </w:rPr>
              <w:t>投标人应组建“实战选手+理论专家”的复合型师资团队；其中，实战选手需为以前年度公共就业服务专项业务竞赛全国赛中获得“十佳选手”奖项的讲师或辅导过获奖参赛选手的讲师（至少1名）；理论专家在公共就业服务领域具备扎实的技术能力或公认的学术影响力。</w:t>
            </w:r>
          </w:p>
          <w:p>
            <w:pPr>
              <w:pStyle w:val="null3"/>
              <w:ind w:firstLine="482"/>
              <w:jc w:val="both"/>
            </w:pPr>
            <w:r>
              <w:rPr>
                <w:rFonts w:ascii="仿宋_GB2312" w:hAnsi="仿宋_GB2312" w:cs="仿宋_GB2312" w:eastAsia="仿宋_GB2312"/>
                <w:b/>
                <w:color w:val="000000"/>
              </w:rPr>
              <w:t>（三）服务能力提升</w:t>
            </w:r>
          </w:p>
          <w:p>
            <w:pPr>
              <w:pStyle w:val="null3"/>
              <w:ind w:firstLine="480"/>
              <w:jc w:val="both"/>
            </w:pPr>
            <w:r>
              <w:rPr>
                <w:rFonts w:ascii="仿宋_GB2312" w:hAnsi="仿宋_GB2312" w:cs="仿宋_GB2312" w:eastAsia="仿宋_GB2312"/>
                <w:color w:val="000000"/>
              </w:rPr>
              <w:t>面向全市基层公共就业服务、职业指导从业人员，建立分层递进、持续赋能的学习体系。开展全员体系化基础训练，确保全员掌握政策规范与全流程业务实操能力。对能力突出的优秀学员，开展持续性高阶专项培养，使其具备符合国家及省级行业更高规范的顶尖专业服务能力。</w:t>
            </w:r>
          </w:p>
          <w:p>
            <w:pPr>
              <w:pStyle w:val="null3"/>
              <w:ind w:firstLine="482"/>
              <w:jc w:val="left"/>
            </w:pPr>
            <w:r>
              <w:rPr>
                <w:rFonts w:ascii="仿宋_GB2312" w:hAnsi="仿宋_GB2312" w:cs="仿宋_GB2312" w:eastAsia="仿宋_GB2312"/>
                <w:b/>
              </w:rPr>
              <w:t>（四）成果验收</w:t>
            </w:r>
          </w:p>
          <w:p>
            <w:pPr>
              <w:pStyle w:val="null3"/>
              <w:ind w:firstLine="480"/>
              <w:jc w:val="left"/>
            </w:pPr>
            <w:r>
              <w:rPr>
                <w:rFonts w:ascii="仿宋_GB2312" w:hAnsi="仿宋_GB2312" w:cs="仿宋_GB2312" w:eastAsia="仿宋_GB2312"/>
              </w:rPr>
              <w:t>形成宣传：在活动结束后15个工作日内，交付一套完整的宣传资料包，包括：</w:t>
            </w:r>
          </w:p>
          <w:p>
            <w:pPr>
              <w:pStyle w:val="null3"/>
              <w:ind w:firstLine="480"/>
              <w:jc w:val="left"/>
            </w:pPr>
            <w:r>
              <w:rPr>
                <w:rFonts w:ascii="仿宋_GB2312" w:hAnsi="仿宋_GB2312" w:cs="仿宋_GB2312" w:eastAsia="仿宋_GB2312"/>
              </w:rPr>
              <w:t>1.成果汇编报告：图文并茂，总结活动全程与工作人员分享的可复制工作经验。</w:t>
            </w:r>
          </w:p>
          <w:p>
            <w:pPr>
              <w:pStyle w:val="null3"/>
              <w:ind w:firstLine="480"/>
              <w:jc w:val="left"/>
            </w:pPr>
            <w:r>
              <w:rPr>
                <w:rFonts w:ascii="仿宋_GB2312" w:hAnsi="仿宋_GB2312" w:cs="仿宋_GB2312" w:eastAsia="仿宋_GB2312"/>
              </w:rPr>
              <w:t>2.高质量宣传视频（1部，3-5分钟）：展现工作人员工作风采、交流探讨精彩瞬间等。</w:t>
            </w:r>
          </w:p>
          <w:p>
            <w:pPr>
              <w:pStyle w:val="null3"/>
              <w:ind w:firstLine="480"/>
              <w:jc w:val="left"/>
            </w:pPr>
            <w:r>
              <w:rPr>
                <w:rFonts w:ascii="仿宋_GB2312" w:hAnsi="仿宋_GB2312" w:cs="仿宋_GB2312" w:eastAsia="仿宋_GB2312"/>
              </w:rPr>
              <w:t>3.系列宣传图文稿：至少3篇，适用于官方微信公众号、官方网站等平台发布。</w:t>
            </w:r>
          </w:p>
          <w:p>
            <w:pPr>
              <w:pStyle w:val="null3"/>
              <w:ind w:firstLine="480"/>
              <w:jc w:val="left"/>
            </w:pPr>
            <w:r>
              <w:rPr>
                <w:rFonts w:ascii="仿宋_GB2312" w:hAnsi="仿宋_GB2312" w:cs="仿宋_GB2312" w:eastAsia="仿宋_GB2312"/>
              </w:rPr>
              <w:t>4.优秀选手案例集：深度挖掘3-5名工作人员的典型工作案例。</w:t>
            </w:r>
          </w:p>
          <w:p>
            <w:pPr>
              <w:pStyle w:val="null3"/>
              <w:ind w:firstLine="482"/>
              <w:jc w:val="left"/>
            </w:pPr>
            <w:r>
              <w:rPr>
                <w:rFonts w:ascii="仿宋_GB2312" w:hAnsi="仿宋_GB2312" w:cs="仿宋_GB2312" w:eastAsia="仿宋_GB2312"/>
                <w:b/>
              </w:rPr>
              <w:t>三、全市公共就业服务平台评估活动</w:t>
            </w:r>
          </w:p>
          <w:p>
            <w:pPr>
              <w:pStyle w:val="null3"/>
              <w:ind w:firstLine="482"/>
              <w:jc w:val="both"/>
            </w:pPr>
            <w:r>
              <w:rPr>
                <w:rFonts w:ascii="仿宋_GB2312" w:hAnsi="仿宋_GB2312" w:cs="仿宋_GB2312" w:eastAsia="仿宋_GB2312"/>
                <w:b/>
              </w:rPr>
              <w:t>（一）项目总目标</w:t>
            </w:r>
          </w:p>
          <w:p>
            <w:pPr>
              <w:pStyle w:val="null3"/>
              <w:ind w:firstLine="480"/>
              <w:jc w:val="both"/>
            </w:pPr>
            <w:r>
              <w:rPr>
                <w:rFonts w:ascii="仿宋_GB2312" w:hAnsi="仿宋_GB2312" w:cs="仿宋_GB2312" w:eastAsia="仿宋_GB2312"/>
              </w:rPr>
              <w:t>通过系统性、独立性的第三方评估，全面检视我市就业驿站平台建设成效与工作实施情况，根据评估结果对平台进行针对性升级，推动家门口就业工作向智能化、精细化、可持续化方向升级发展。</w:t>
            </w:r>
          </w:p>
          <w:p>
            <w:pPr>
              <w:pStyle w:val="null3"/>
              <w:ind w:firstLine="482"/>
              <w:jc w:val="both"/>
            </w:pPr>
            <w:r>
              <w:rPr>
                <w:rFonts w:ascii="仿宋_GB2312" w:hAnsi="仿宋_GB2312" w:cs="仿宋_GB2312" w:eastAsia="仿宋_GB2312"/>
                <w:b/>
              </w:rPr>
              <w:t>（二）工作内容</w:t>
            </w:r>
          </w:p>
          <w:p>
            <w:pPr>
              <w:pStyle w:val="null3"/>
              <w:ind w:firstLine="480"/>
              <w:jc w:val="left"/>
            </w:pPr>
            <w:r>
              <w:rPr>
                <w:rFonts w:ascii="仿宋_GB2312" w:hAnsi="仿宋_GB2312" w:cs="仿宋_GB2312" w:eastAsia="仿宋_GB2312"/>
              </w:rPr>
              <w:t>完成家门口就业平台综合质效评估，结合本地就业服务工作实际，构建科学完善，贴合业务场景的多维度评估指标体系，完成全维度信息采集与分析，形成定性与定量结合的专业评估报告和优化提升建议；便于采购人后期根据此专业评估报告和优化提升建议对平台进行针对性、可落地的升级优化。</w:t>
            </w:r>
          </w:p>
          <w:p>
            <w:pPr>
              <w:pStyle w:val="null3"/>
              <w:ind w:firstLine="482"/>
              <w:jc w:val="left"/>
            </w:pPr>
            <w:r>
              <w:rPr>
                <w:rFonts w:ascii="仿宋_GB2312" w:hAnsi="仿宋_GB2312" w:cs="仿宋_GB2312" w:eastAsia="仿宋_GB2312"/>
                <w:b/>
              </w:rPr>
              <w:t>（二）成果验收</w:t>
            </w:r>
          </w:p>
          <w:p>
            <w:pPr>
              <w:pStyle w:val="null3"/>
              <w:ind w:firstLine="480"/>
              <w:jc w:val="both"/>
            </w:pPr>
            <w:r>
              <w:rPr>
                <w:rFonts w:ascii="仿宋_GB2312" w:hAnsi="仿宋_GB2312" w:cs="仿宋_GB2312" w:eastAsia="仿宋_GB2312"/>
              </w:rPr>
              <w:t>1.评估报告结构：须包含评估背景、指标体系说明、数据采集情况、总体评估结论、分区域对比分析、问题诊断、对策建议等章节。</w:t>
            </w:r>
          </w:p>
          <w:p>
            <w:pPr>
              <w:pStyle w:val="null3"/>
              <w:ind w:firstLine="480"/>
              <w:jc w:val="both"/>
            </w:pPr>
            <w:r>
              <w:rPr>
                <w:rFonts w:ascii="仿宋_GB2312" w:hAnsi="仿宋_GB2312" w:cs="仿宋_GB2312" w:eastAsia="仿宋_GB2312"/>
              </w:rPr>
              <w:t>2.报告深度：对策建议部分须针对“智能化、精细化、可持续化”三个升级方向，提出可落地、可操作的具体建议（如：建议优化哪个环节算法、简化哪项业务流程等）。</w:t>
            </w:r>
          </w:p>
          <w:p>
            <w:pPr>
              <w:pStyle w:val="null3"/>
              <w:ind w:firstLine="482"/>
              <w:jc w:val="left"/>
            </w:pPr>
            <w:r>
              <w:rPr>
                <w:rFonts w:ascii="仿宋_GB2312" w:hAnsi="仿宋_GB2312" w:cs="仿宋_GB2312" w:eastAsia="仿宋_GB2312"/>
                <w:b/>
              </w:rPr>
              <w:t>四、商务要求</w:t>
            </w:r>
          </w:p>
          <w:p>
            <w:pPr>
              <w:pStyle w:val="null3"/>
              <w:ind w:firstLine="482"/>
              <w:jc w:val="both"/>
            </w:pPr>
            <w:r>
              <w:rPr>
                <w:rFonts w:ascii="仿宋_GB2312" w:hAnsi="仿宋_GB2312" w:cs="仿宋_GB2312" w:eastAsia="仿宋_GB2312"/>
                <w:b/>
              </w:rPr>
              <w:t>（一）报价要求</w:t>
            </w:r>
          </w:p>
          <w:p>
            <w:pPr>
              <w:pStyle w:val="null3"/>
              <w:ind w:firstLine="480"/>
              <w:jc w:val="both"/>
            </w:pPr>
            <w:r>
              <w:rPr>
                <w:rFonts w:ascii="仿宋_GB2312" w:hAnsi="仿宋_GB2312" w:cs="仿宋_GB2312" w:eastAsia="仿宋_GB2312"/>
              </w:rPr>
              <w:t>1.投标报价应为人民币含税全包价，包括但不限于：人工费、师资费、资料费</w:t>
            </w:r>
            <w:r>
              <w:rPr>
                <w:rFonts w:ascii="仿宋_GB2312" w:hAnsi="仿宋_GB2312" w:cs="仿宋_GB2312" w:eastAsia="仿宋_GB2312"/>
                <w:color w:val="000000"/>
              </w:rPr>
              <w:t>、场地费、餐</w:t>
            </w:r>
            <w:r>
              <w:rPr>
                <w:rFonts w:ascii="仿宋_GB2312" w:hAnsi="仿宋_GB2312" w:cs="仿宋_GB2312" w:eastAsia="仿宋_GB2312"/>
              </w:rPr>
              <w:t>饮费、设备租赁费、管理费、税费及履行本合同所需的一切费用。</w:t>
            </w:r>
          </w:p>
          <w:p>
            <w:pPr>
              <w:pStyle w:val="null3"/>
              <w:ind w:firstLine="480"/>
              <w:jc w:val="both"/>
            </w:pPr>
            <w:r>
              <w:rPr>
                <w:rFonts w:ascii="仿宋_GB2312" w:hAnsi="仿宋_GB2312" w:cs="仿宋_GB2312" w:eastAsia="仿宋_GB2312"/>
                <w:color w:val="000000"/>
              </w:rPr>
              <w:t>2.</w:t>
            </w:r>
            <w:r>
              <w:rPr>
                <w:rFonts w:ascii="仿宋_GB2312" w:hAnsi="仿宋_GB2312" w:cs="仿宋_GB2312" w:eastAsia="仿宋_GB2312"/>
                <w:color w:val="000000"/>
              </w:rPr>
              <w:t>本项目合同总价即中标价，不受市场价变化或实际工作量变化的影响，投标人须在分项报价中明确各项费用。</w:t>
            </w:r>
          </w:p>
          <w:p>
            <w:pPr>
              <w:pStyle w:val="null3"/>
              <w:ind w:firstLine="482"/>
              <w:jc w:val="both"/>
            </w:pPr>
            <w:r>
              <w:rPr>
                <w:rFonts w:ascii="仿宋_GB2312" w:hAnsi="仿宋_GB2312" w:cs="仿宋_GB2312" w:eastAsia="仿宋_GB2312"/>
                <w:b/>
              </w:rPr>
              <w:t>（二）付款方式</w:t>
            </w:r>
          </w:p>
          <w:p>
            <w:pPr>
              <w:pStyle w:val="null3"/>
              <w:ind w:firstLine="480"/>
              <w:jc w:val="both"/>
            </w:pPr>
            <w:r>
              <w:rPr>
                <w:rFonts w:ascii="仿宋_GB2312" w:hAnsi="仿宋_GB2312" w:cs="仿宋_GB2312" w:eastAsia="仿宋_GB2312"/>
              </w:rPr>
              <w:t>合同签订后，达到付款条件起30日内，支付合同总金额的60.00%；项目全部完成并通过采购人最终验收合格后30日内，支付合同总金额的40%</w:t>
            </w:r>
          </w:p>
          <w:p>
            <w:pPr>
              <w:pStyle w:val="null3"/>
              <w:ind w:firstLine="482"/>
              <w:jc w:val="both"/>
            </w:pPr>
            <w:r>
              <w:rPr>
                <w:rFonts w:ascii="仿宋_GB2312" w:hAnsi="仿宋_GB2312" w:cs="仿宋_GB2312" w:eastAsia="仿宋_GB2312"/>
                <w:b/>
              </w:rPr>
              <w:t>（三）服务期（履约期限）</w:t>
            </w:r>
          </w:p>
          <w:p>
            <w:pPr>
              <w:pStyle w:val="null3"/>
              <w:ind w:firstLine="480"/>
              <w:jc w:val="both"/>
            </w:pPr>
            <w:r>
              <w:rPr>
                <w:rFonts w:ascii="仿宋_GB2312" w:hAnsi="仿宋_GB2312" w:cs="仿宋_GB2312" w:eastAsia="仿宋_GB2312"/>
              </w:rPr>
              <w:t>自合同签订之日起至2026年12月31日前完成全部工作并通过验收。</w:t>
            </w:r>
          </w:p>
          <w:p>
            <w:pPr>
              <w:pStyle w:val="null3"/>
              <w:ind w:firstLine="482"/>
              <w:jc w:val="left"/>
            </w:pPr>
            <w:r>
              <w:rPr>
                <w:rFonts w:ascii="仿宋_GB2312" w:hAnsi="仿宋_GB2312" w:cs="仿宋_GB2312" w:eastAsia="仿宋_GB2312"/>
                <w:b/>
              </w:rPr>
              <w:t>（四）知识产权</w:t>
            </w:r>
          </w:p>
          <w:p>
            <w:pPr>
              <w:pStyle w:val="null3"/>
              <w:ind w:firstLine="480"/>
              <w:jc w:val="left"/>
            </w:pPr>
            <w:r>
              <w:rPr>
                <w:rFonts w:ascii="仿宋_GB2312" w:hAnsi="仿宋_GB2312" w:cs="仿宋_GB2312" w:eastAsia="仿宋_GB2312"/>
              </w:rPr>
              <w:t>本项目产生的全部成果（包括但不限于报告、数据、课件、视频等）的知识产权归甲方所有，乙方不得擅自用于本项目以外的用途。</w:t>
            </w:r>
          </w:p>
          <w:p>
            <w:pPr>
              <w:pStyle w:val="null3"/>
              <w:ind w:firstLine="482"/>
              <w:jc w:val="left"/>
            </w:pPr>
            <w:r>
              <w:rPr>
                <w:rFonts w:ascii="仿宋_GB2312" w:hAnsi="仿宋_GB2312" w:cs="仿宋_GB2312" w:eastAsia="仿宋_GB2312"/>
                <w:b/>
              </w:rPr>
              <w:t>（五）服务标准：</w:t>
            </w:r>
            <w:r>
              <w:rPr>
                <w:rFonts w:ascii="仿宋_GB2312" w:hAnsi="仿宋_GB2312" w:cs="仿宋_GB2312" w:eastAsia="仿宋_GB2312"/>
              </w:rPr>
              <w:t>符合国家及行业标准，满足采购人要求</w:t>
            </w:r>
          </w:p>
          <w:p>
            <w:pPr>
              <w:pStyle w:val="null3"/>
              <w:ind w:firstLine="482"/>
              <w:jc w:val="left"/>
            </w:pPr>
            <w:r>
              <w:rPr>
                <w:rFonts w:ascii="仿宋_GB2312" w:hAnsi="仿宋_GB2312" w:cs="仿宋_GB2312" w:eastAsia="仿宋_GB2312"/>
                <w:b/>
              </w:rPr>
              <w:t>五、其他要求：</w:t>
            </w:r>
          </w:p>
          <w:p>
            <w:pPr>
              <w:pStyle w:val="null3"/>
              <w:ind w:firstLine="480"/>
              <w:jc w:val="left"/>
            </w:pPr>
            <w:r>
              <w:rPr>
                <w:rFonts w:ascii="仿宋_GB2312" w:hAnsi="仿宋_GB2312" w:cs="仿宋_GB2312" w:eastAsia="仿宋_GB2312"/>
              </w:rPr>
              <w:t>服务团队要求（不含拟聘请的讲师和专家）：投标人拟投入本项目的团队人员不少于5人，其中至少包含项目负责人1人、其余人员需满足组织、宣传推广及评估的要求。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（响应文件格式-标的清单）本项目服务范围：公共就业服务专项技能提升活动； 服务要求：符合磋商文件有关技术、商务要求； 服 务标准：符合国家和省、市有关行业标准及采购人的要求。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自合同签订之日起至2026年12月31日前完成全部工作并通过验收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项目全部完成并通过采购人最终验收合格后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zthsjsb@126.com）。否则，采购代理机构可以向财政部门反映情况并提供相应的佐证。供应商一年内累计出现三次该情形，将被监管部门记录为失信行为。 3.4.2纸质版响应文件要求：成交单位在领取成交通知书前，须向采购代理机构提供纸质版响应文件1套，U盘2份（包括响应文件的全部内容）且提供的响应文件必须与在陕西省政府采购综合管理平台的项目电子化交易系统中提交的电子磋商响应文件内容一致，纸质版响应文件必须装订成册签字盖章。 3.4.3安全责任:乙方应对其工作人员在现场工作期间的一切行为负责，如安全事故责任及因此发生的人身损害赔 偿和其它 费用由乙方承担。 3.4.4保密条款:(1)成交供应商应严格遵守采购单位有关保密规定，不得泄漏一切机密;(2)在技术服务期间， 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5.具备履行合同所必须的设备和专业技术能力的书面声明；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2.磋商小组启动异常低价响应审查后，属于前述第①项至第②项情形的，应当要求相关供应商在30分钟内对响应价格作出解释，提供项目具体成本测算等与报价合理性相关的书面说明及必要的证明材料，包括但不限于原材料成本、人工成本、制造费用等，其中，属于第③项情形，供应商已随响应文件一并提交相关书面说明及必要的证明材料的，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分项报价表 资格证明材料 技术、服务、商务及其他要求应答表 标的清单 报价表 陕西省政府采购投标人拒绝政府采购领域商业贿赂承诺书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1.磋商报价唯一； 2.报价货币符合磋商文件要求；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分项报价表 资格证明材料 技术、服务、商务及其他要求应答表 标的清单 报价表 陕西省政府采购投标人拒绝政府采购领域商业贿赂承诺书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供应商认为需要补充的其他内容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代表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供应商对项目的理解，内容包含但不限于①项目背景分析②项目需求理解③工作目标解读等进行综合评审；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供应商提供相应的服务方案，内容包含但不限于①整体服务方案②工作实施流程③策划及宣传推广方案④风险防控方案⑤资料验收及移交方案等进行综合评审； 前述要求的内容均有描述且符合本项目要求的得20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供应商提供针对本项目的进度计划，内容包含但不限于①进度计划安排②进度计划保证措施等进行综合评审； 前述要求的内容均有描述且符合本项目要求的得6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供应商提供针对本项目的重难点分析及解决措施，内容包含但不限于①针对本项目的重难点分析②针对重难点分析后的预防及解决措施等进行综合评审；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供应商提供针对本项目的质量保证方案，内容包含但不限于①质量管理体系②质量保障措施等进行综合评审；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供应商提供针对本项目的团队配置，内容包括但不限于①团队人员的配备情况②组织机构的岗位职责等进行综合评审； 前述要求的内容均有描述且符合本项目要求的得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供应商提供管理制度，内容包括但不限于①团队人员管理制度②学员管理制度③教学管理制度等进行综合评审；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供应商提供针对本项目的应急方案，内容包含但不限于①应急预案详述②应急工作流程③日常安全管理等进行综合评审； 前述要求的内容均有描述且符合本项目要求的得12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详见附件：供应商业绩情况</w:t>
      </w:r>
    </w:p>
    <w:p>
      <w:pPr>
        <w:pStyle w:val="null3"/>
        <w:ind w:firstLine="960"/>
      </w:pPr>
      <w:r>
        <w:rPr>
          <w:rFonts w:ascii="仿宋_GB2312" w:hAnsi="仿宋_GB2312" w:cs="仿宋_GB2312" w:eastAsia="仿宋_GB2312"/>
        </w:rPr>
        <w:t>详见附件：陕西省政府采购投标人拒绝政府采购领域商业贿赂承诺书</w:t>
      </w:r>
    </w:p>
    <w:p>
      <w:pPr>
        <w:pStyle w:val="null3"/>
        <w:ind w:firstLine="960"/>
      </w:pPr>
      <w:r>
        <w:rPr>
          <w:rFonts w:ascii="仿宋_GB2312" w:hAnsi="仿宋_GB2312" w:cs="仿宋_GB2312" w:eastAsia="仿宋_GB2312"/>
        </w:rPr>
        <w:t>详见附件：供应商认为需要补充的其他内容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