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版本号：HCZB-2026-SC-11220260409001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西安市档案馆2026年馆藏档案整理项目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HCZB-2026-SC-112</w:t>
      </w:r>
      <w:r>
        <w:br/>
      </w:r>
      <w:r>
        <w:br/>
      </w:r>
      <w:r>
        <w:br/>
      </w:r>
    </w:p>
    <w:p>
      <w:pPr>
        <w:pStyle w:val="null3"/>
        <w:jc w:val="center"/>
        <w:outlineLvl w:val="2"/>
      </w:pPr>
      <w:r>
        <w:rPr>
          <w:rFonts w:ascii="仿宋_GB2312" w:hAnsi="仿宋_GB2312" w:cs="仿宋_GB2312" w:eastAsia="仿宋_GB2312"/>
          <w:sz w:val="28"/>
          <w:b/>
        </w:rPr>
        <w:t>西安市档案馆（本级）</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西安市档案馆（本级）</w:t>
      </w:r>
      <w:r>
        <w:rPr>
          <w:rFonts w:ascii="仿宋_GB2312" w:hAnsi="仿宋_GB2312" w:cs="仿宋_GB2312" w:eastAsia="仿宋_GB2312"/>
        </w:rPr>
        <w:t>委托，拟对</w:t>
      </w:r>
      <w:r>
        <w:rPr>
          <w:rFonts w:ascii="仿宋_GB2312" w:hAnsi="仿宋_GB2312" w:cs="仿宋_GB2312" w:eastAsia="仿宋_GB2312"/>
        </w:rPr>
        <w:t>西安市档案馆2026年馆藏档案整理项目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HCZB-2026-SC-112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西安市档案馆2026年馆藏档案整理项目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西安市档案馆2026年馆藏档案整理项目拟采用外包方式实施，主要内容包括：①2011-2014年创文迎检资料；②1996-2015年出生医学证明。具体服务内容及要求详见竞争性磋商文件。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采购包1（西安市档案馆2026年馆藏档案整理项目）：属于专门面向中小企业采购。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p>
      <w:pPr>
        <w:pStyle w:val="null3"/>
      </w:pPr>
      <w:r>
        <w:rPr>
          <w:rFonts w:ascii="仿宋_GB2312" w:hAnsi="仿宋_GB2312" w:cs="仿宋_GB2312" w:eastAsia="仿宋_GB2312"/>
        </w:rPr>
        <w:t>4、税收缴纳证明：提供投标截止日前一年内任意一个月纳税证明或完税证明，依法免税或无须缴纳税收的供应商，应提供相应证明文件。</w:t>
      </w:r>
    </w:p>
    <w:p>
      <w:pPr>
        <w:pStyle w:val="null3"/>
      </w:pPr>
      <w:r>
        <w:rPr>
          <w:rFonts w:ascii="仿宋_GB2312" w:hAnsi="仿宋_GB2312" w:cs="仿宋_GB2312" w:eastAsia="仿宋_GB2312"/>
        </w:rPr>
        <w:t>5、社会保障资金缴纳证明：提供投标截止日前一年内任意一个月的社会保障资金缴存单据或社保机构开具的社会保险参保缴费情况证明，依法不需要缴纳社会保障资金的单位应提供相关证明材料。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7、资质：供应商须具有有效的国家秘密载体印制资质（资质类别为涉密档案数字化加工），省外乙级资质企业须在陕西省省级保密行政管理部门完成备案，并提供合法有效的备案证明材料。</w:t>
      </w:r>
    </w:p>
    <w:p>
      <w:pPr>
        <w:pStyle w:val="null3"/>
      </w:pPr>
      <w:r>
        <w:rPr>
          <w:rFonts w:ascii="仿宋_GB2312" w:hAnsi="仿宋_GB2312" w:cs="仿宋_GB2312" w:eastAsia="仿宋_GB2312"/>
        </w:rPr>
        <w:t>8、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9、无重大违法记录：参加政府采购活动前3年内，在经营活动中没有重大违法记录的书面声明。</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11、非联合体承诺：本项目不接受联合体磋商。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西安市档案馆（本级）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029-86287121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029-89352201、17791690198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采购包1：363,700.00元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改革委办公厅《关于招标代理服务收费有关问题的通知》（发改办价格［2003］857号）及国家发展改革委《关于降低部分建设项目收费标准规范收费行为等有关问题的通知》（发改价格[2011]534号）规定的标准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西安市档案馆（本级）</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西安市档案馆（本级）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西安市档案馆（本级）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地址：西安市雁塔区南二环西段58号成长大厦8楼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西安市档案馆2026年馆藏档案整理项目拟采用外包方式实施，主要内容包括：①2011-2014年创文迎检资料；②1996-2015年出生医学证明。具体服务内容及要求详见竞争性磋商文件。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363,700.00</w:t>
      </w:r>
    </w:p>
    <w:p>
      <w:pPr>
        <w:pStyle w:val="null3"/>
      </w:pPr>
      <w:r>
        <w:rPr>
          <w:rFonts w:ascii="仿宋_GB2312" w:hAnsi="仿宋_GB2312" w:cs="仿宋_GB2312" w:eastAsia="仿宋_GB2312"/>
        </w:rPr>
        <w:t>采购包最高限价（元）: 363,700.00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整理市创建全国文明城市2011-2014年度迎检资料27箱800盒约1500卷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right"/>
            </w:pPr>
            <w:r>
              <w:rPr>
                <w:rFonts w:ascii="仿宋_GB2312" w:hAnsi="仿宋_GB2312" w:cs="仿宋_GB2312" w:eastAsia="仿宋_GB2312"/>
              </w:rPr>
              <w:t>105,500.00</w:t>
            </w:r>
          </w:p>
        </w:tc>
        <w:tc>
          <w:tcPr>
            <w:tcW w:type="dxa" w:w="831"/>
          </w:tcPr>
          <w:p>
            <w:pPr>
              <w:pStyle w:val="null3"/>
            </w:pPr>
            <w:r>
              <w:rPr>
                <w:rFonts w:ascii="仿宋_GB2312" w:hAnsi="仿宋_GB2312" w:cs="仿宋_GB2312" w:eastAsia="仿宋_GB2312"/>
              </w:rPr>
              <w:t>卷</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整理馆藏1996-2015年出生医学证明资料约11万余人</w:t>
            </w:r>
          </w:p>
        </w:tc>
        <w:tc>
          <w:tcPr>
            <w:tcW w:type="dxa" w:w="831"/>
          </w:tcPr>
          <w:p>
            <w:pPr>
              <w:pStyle w:val="null3"/>
              <w:jc w:val="right"/>
            </w:pPr>
            <w:r>
              <w:rPr>
                <w:rFonts w:ascii="仿宋_GB2312" w:hAnsi="仿宋_GB2312" w:cs="仿宋_GB2312" w:eastAsia="仿宋_GB2312"/>
              </w:rPr>
              <w:t>110,000.00</w:t>
            </w:r>
          </w:p>
        </w:tc>
        <w:tc>
          <w:tcPr>
            <w:tcW w:type="dxa" w:w="831"/>
          </w:tcPr>
          <w:p>
            <w:pPr>
              <w:pStyle w:val="null3"/>
              <w:jc w:val="right"/>
            </w:pPr>
            <w:r>
              <w:rPr>
                <w:rFonts w:ascii="仿宋_GB2312" w:hAnsi="仿宋_GB2312" w:cs="仿宋_GB2312" w:eastAsia="仿宋_GB2312"/>
              </w:rPr>
              <w:t>258,200.00</w:t>
            </w:r>
          </w:p>
        </w:tc>
        <w:tc>
          <w:tcPr>
            <w:tcW w:type="dxa" w:w="831"/>
          </w:tcPr>
          <w:p>
            <w:pPr>
              <w:pStyle w:val="null3"/>
            </w:pPr>
            <w:r>
              <w:rPr>
                <w:rFonts w:ascii="仿宋_GB2312" w:hAnsi="仿宋_GB2312" w:cs="仿宋_GB2312" w:eastAsia="仿宋_GB2312"/>
              </w:rPr>
              <w:t>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标的名称：整理市创建全国文明城市2011-2014年度迎检资料27箱800盒约1500卷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整理市创建全国文明城市</w:t>
            </w:r>
            <w:r>
              <w:rPr>
                <w:rFonts w:ascii="仿宋_GB2312" w:hAnsi="仿宋_GB2312" w:cs="仿宋_GB2312" w:eastAsia="仿宋_GB2312"/>
                <w:sz w:val="24"/>
              </w:rPr>
              <w:t>2011-2014年度迎检资料27箱800盒约1500卷</w:t>
            </w:r>
          </w:p>
          <w:p>
            <w:pPr>
              <w:pStyle w:val="null3"/>
              <w:jc w:val="both"/>
            </w:pPr>
            <w:r>
              <w:rPr>
                <w:rFonts w:ascii="仿宋_GB2312" w:hAnsi="仿宋_GB2312" w:cs="仿宋_GB2312" w:eastAsia="仿宋_GB2312"/>
                <w:sz w:val="24"/>
              </w:rPr>
              <w:t>（一）技术标准及规范性文件。《档号编制规则》（</w:t>
            </w:r>
            <w:r>
              <w:rPr>
                <w:rFonts w:ascii="仿宋_GB2312" w:hAnsi="仿宋_GB2312" w:cs="仿宋_GB2312" w:eastAsia="仿宋_GB2312"/>
                <w:sz w:val="24"/>
              </w:rPr>
              <w:t>DA/T13-2022）、《档案著录规则》(DA/T18-2022)、《文书档案案卷格式》（GB/T9705-2008）</w:t>
            </w:r>
            <w:r>
              <w:rPr>
                <w:rFonts w:ascii="仿宋_GB2312" w:hAnsi="仿宋_GB2312" w:cs="仿宋_GB2312" w:eastAsia="仿宋_GB2312"/>
                <w:sz w:val="24"/>
              </w:rPr>
              <w:t>、</w:t>
            </w:r>
            <w:r>
              <w:rPr>
                <w:rFonts w:ascii="仿宋_GB2312" w:hAnsi="仿宋_GB2312" w:cs="仿宋_GB2312" w:eastAsia="仿宋_GB2312"/>
                <w:sz w:val="24"/>
              </w:rPr>
              <w:t>《档案服务外包工作规范》（</w:t>
            </w:r>
            <w:r>
              <w:rPr>
                <w:rFonts w:ascii="仿宋_GB2312" w:hAnsi="仿宋_GB2312" w:cs="仿宋_GB2312" w:eastAsia="仿宋_GB2312"/>
                <w:sz w:val="24"/>
              </w:rPr>
              <w:t>DA/T68-2020）。</w:t>
            </w:r>
          </w:p>
          <w:p>
            <w:pPr>
              <w:pStyle w:val="null3"/>
              <w:jc w:val="both"/>
            </w:pPr>
            <w:r>
              <w:rPr>
                <w:rFonts w:ascii="仿宋_GB2312" w:hAnsi="仿宋_GB2312" w:cs="仿宋_GB2312" w:eastAsia="仿宋_GB2312"/>
                <w:sz w:val="24"/>
              </w:rPr>
              <w:t>（二）工作内容</w:t>
            </w:r>
          </w:p>
          <w:p>
            <w:pPr>
              <w:pStyle w:val="null3"/>
              <w:ind w:firstLine="400"/>
              <w:jc w:val="both"/>
            </w:pPr>
            <w:r>
              <w:rPr>
                <w:rFonts w:ascii="仿宋_GB2312" w:hAnsi="仿宋_GB2312" w:cs="仿宋_GB2312" w:eastAsia="仿宋_GB2312"/>
                <w:sz w:val="24"/>
              </w:rPr>
              <w:t>主要包括：清点核对、规范整理、目录著录、质量自检、验收移交等。</w:t>
            </w:r>
          </w:p>
          <w:p>
            <w:pPr>
              <w:pStyle w:val="null3"/>
              <w:jc w:val="both"/>
            </w:pPr>
            <w:r>
              <w:rPr>
                <w:rFonts w:ascii="仿宋_GB2312" w:hAnsi="仿宋_GB2312" w:cs="仿宋_GB2312" w:eastAsia="仿宋_GB2312"/>
                <w:sz w:val="24"/>
              </w:rPr>
              <w:t>（三）过程管理</w:t>
            </w:r>
          </w:p>
          <w:p>
            <w:pPr>
              <w:pStyle w:val="null3"/>
              <w:ind w:firstLine="400"/>
              <w:jc w:val="both"/>
            </w:pPr>
            <w:r>
              <w:rPr>
                <w:rFonts w:ascii="仿宋_GB2312" w:hAnsi="仿宋_GB2312" w:cs="仿宋_GB2312" w:eastAsia="仿宋_GB2312"/>
                <w:sz w:val="24"/>
              </w:rPr>
              <w:t>1.建立并落实档案安全保密管理机制、质量管理机制，明确责任，加强管理，严格监督，确保档案原件的安全，确保各环节工作符合质量要求。</w:t>
            </w:r>
          </w:p>
          <w:p>
            <w:pPr>
              <w:pStyle w:val="null3"/>
              <w:ind w:firstLine="400"/>
              <w:jc w:val="both"/>
            </w:pPr>
            <w:r>
              <w:rPr>
                <w:rFonts w:ascii="仿宋_GB2312" w:hAnsi="仿宋_GB2312" w:cs="仿宋_GB2312" w:eastAsia="仿宋_GB2312"/>
                <w:sz w:val="24"/>
              </w:rPr>
              <w:t>2.建立完整、规范的工作记录并及时整理、汇总，在项目完成的同时建立起完整、规范的台账。</w:t>
            </w:r>
          </w:p>
          <w:p>
            <w:pPr>
              <w:pStyle w:val="null3"/>
              <w:jc w:val="both"/>
            </w:pPr>
            <w:r>
              <w:rPr>
                <w:rFonts w:ascii="仿宋_GB2312" w:hAnsi="仿宋_GB2312" w:cs="仿宋_GB2312" w:eastAsia="仿宋_GB2312"/>
                <w:sz w:val="24"/>
              </w:rPr>
              <w:t>（四）整理规则</w:t>
            </w:r>
          </w:p>
          <w:p>
            <w:pPr>
              <w:pStyle w:val="null3"/>
              <w:ind w:firstLine="400"/>
              <w:jc w:val="both"/>
            </w:pPr>
            <w:r>
              <w:rPr>
                <w:rFonts w:ascii="仿宋_GB2312" w:hAnsi="仿宋_GB2312" w:cs="仿宋_GB2312" w:eastAsia="仿宋_GB2312"/>
                <w:sz w:val="24"/>
              </w:rPr>
              <w:t>2011-2014年创文迎检资料：以“卷”为单位对创文迎检资料进行组卷、排序、编号、编目、装订、装盒、上架，便于保管和利用。各工作环节要求如下：</w:t>
            </w:r>
          </w:p>
          <w:p>
            <w:pPr>
              <w:pStyle w:val="null3"/>
              <w:ind w:firstLine="400"/>
              <w:jc w:val="both"/>
            </w:pPr>
            <w:r>
              <w:rPr>
                <w:rFonts w:ascii="仿宋_GB2312" w:hAnsi="仿宋_GB2312" w:cs="仿宋_GB2312" w:eastAsia="仿宋_GB2312"/>
                <w:sz w:val="24"/>
              </w:rPr>
              <w:t>①组卷：遵循迎检资料的规律和特点，按照“一事一卷或一事数卷”原则，合理组卷，确保卷内文件体系完整、逻辑清晰。卷内文件排列有序，正文在前、附件在后，批复在前、请示在后，时间顺序连贯。</w:t>
            </w:r>
          </w:p>
          <w:p>
            <w:pPr>
              <w:pStyle w:val="null3"/>
              <w:ind w:firstLine="400"/>
              <w:jc w:val="both"/>
            </w:pPr>
            <w:r>
              <w:rPr>
                <w:rFonts w:ascii="仿宋_GB2312" w:hAnsi="仿宋_GB2312" w:cs="仿宋_GB2312" w:eastAsia="仿宋_GB2312"/>
                <w:sz w:val="24"/>
              </w:rPr>
              <w:t>②案卷结构：每卷档案须完整包含：案卷封面、卷内文件目录、卷内文件、备考表。</w:t>
            </w:r>
          </w:p>
          <w:p>
            <w:pPr>
              <w:pStyle w:val="null3"/>
              <w:ind w:firstLine="400"/>
              <w:jc w:val="both"/>
            </w:pPr>
            <w:r>
              <w:rPr>
                <w:rFonts w:ascii="仿宋_GB2312" w:hAnsi="仿宋_GB2312" w:cs="仿宋_GB2312" w:eastAsia="仿宋_GB2312"/>
                <w:sz w:val="24"/>
              </w:rPr>
              <w:t>③案卷封面：档案卷皮格式统一，项目包括全宗名称、类目名称、案卷题名、保管期限、起止年月、件数、页数、档号，要求书写正确、工整。</w:t>
            </w:r>
          </w:p>
          <w:p>
            <w:pPr>
              <w:pStyle w:val="null3"/>
              <w:ind w:firstLine="400"/>
              <w:jc w:val="both"/>
            </w:pPr>
            <w:r>
              <w:rPr>
                <w:rFonts w:ascii="仿宋_GB2312" w:hAnsi="仿宋_GB2312" w:cs="仿宋_GB2312" w:eastAsia="仿宋_GB2312"/>
                <w:sz w:val="24"/>
              </w:rPr>
              <w:t>案卷题名应准确概括本卷文件的主要制发机关、内容、文种。文字力求简练、明确，一般字数控制在</w:t>
            </w:r>
            <w:r>
              <w:rPr>
                <w:rFonts w:ascii="仿宋_GB2312" w:hAnsi="仿宋_GB2312" w:cs="仿宋_GB2312" w:eastAsia="仿宋_GB2312"/>
                <w:sz w:val="24"/>
              </w:rPr>
              <w:t>50字以内。</w:t>
            </w:r>
          </w:p>
          <w:p>
            <w:pPr>
              <w:pStyle w:val="null3"/>
              <w:ind w:firstLine="400"/>
              <w:jc w:val="both"/>
            </w:pPr>
            <w:r>
              <w:rPr>
                <w:rFonts w:ascii="仿宋_GB2312" w:hAnsi="仿宋_GB2312" w:cs="仿宋_GB2312" w:eastAsia="仿宋_GB2312"/>
                <w:sz w:val="24"/>
              </w:rPr>
              <w:t xml:space="preserve">④编制页号：卷内文件应逐页编制页码，分别标注在文件正面右上角或背面左上角的空白处（空白页不编页码）。  </w:t>
            </w:r>
          </w:p>
          <w:p>
            <w:pPr>
              <w:pStyle w:val="null3"/>
              <w:ind w:firstLine="400"/>
              <w:jc w:val="both"/>
            </w:pPr>
            <w:r>
              <w:rPr>
                <w:rFonts w:ascii="仿宋_GB2312" w:hAnsi="仿宋_GB2312" w:cs="仿宋_GB2312" w:eastAsia="仿宋_GB2312"/>
                <w:sz w:val="24"/>
              </w:rPr>
              <w:t>⑤卷内文件目录：项目包括序号、文号、责任者、题名、日期、页号、备注。按要求录入，与文件实体相符。</w:t>
            </w:r>
          </w:p>
          <w:p>
            <w:pPr>
              <w:pStyle w:val="null3"/>
              <w:ind w:firstLine="400"/>
              <w:jc w:val="both"/>
            </w:pPr>
            <w:r>
              <w:rPr>
                <w:rFonts w:ascii="仿宋_GB2312" w:hAnsi="仿宋_GB2312" w:cs="仿宋_GB2312" w:eastAsia="仿宋_GB2312"/>
                <w:sz w:val="24"/>
              </w:rPr>
              <w:t>⑥备考表：包括本卷情况说明、立卷人、检查人、立卷时间、检查时间。本卷情况说明填写卷内文件缺损、修改、补充、移出、销毁等情况（无需说明，可为空）。立卷人由责任立卷者签名，检查人由案卷质量审核者签名，立卷时间填写完成的立卷日期，检查时间填写完成的检查时间。</w:t>
            </w:r>
          </w:p>
          <w:p>
            <w:pPr>
              <w:pStyle w:val="null3"/>
              <w:ind w:firstLine="400"/>
              <w:jc w:val="both"/>
            </w:pPr>
            <w:r>
              <w:rPr>
                <w:rFonts w:ascii="仿宋_GB2312" w:hAnsi="仿宋_GB2312" w:cs="仿宋_GB2312" w:eastAsia="仿宋_GB2312"/>
                <w:sz w:val="24"/>
              </w:rPr>
              <w:t>⑦装订：以底边和右边对齐，采取“三孔一线法”。装订后要美观、结实、不掉页、不压字。</w:t>
            </w:r>
          </w:p>
          <w:p>
            <w:pPr>
              <w:pStyle w:val="null3"/>
              <w:ind w:firstLine="400"/>
              <w:jc w:val="both"/>
            </w:pPr>
            <w:r>
              <w:rPr>
                <w:rFonts w:ascii="仿宋_GB2312" w:hAnsi="仿宋_GB2312" w:cs="仿宋_GB2312" w:eastAsia="仿宋_GB2312"/>
                <w:sz w:val="24"/>
              </w:rPr>
              <w:t>⑧编制案卷目录：以卷为单位编制案卷目录，设置序号、档号、题名、起止日期、保管期限、备注等项目。</w:t>
            </w:r>
          </w:p>
          <w:p>
            <w:pPr>
              <w:pStyle w:val="null3"/>
            </w:pPr>
            <w:r>
              <w:rPr>
                <w:rFonts w:ascii="仿宋_GB2312" w:hAnsi="仿宋_GB2312" w:cs="仿宋_GB2312" w:eastAsia="仿宋_GB2312"/>
                <w:sz w:val="24"/>
              </w:rPr>
              <w:t xml:space="preserve">   ⑨装盒：案卷装进档案盒中，档案盒需定制标准尺寸（310*220*30mm、325*235*40mm等根据实际情况确定，可以有几种规格），可根据案卷的厚薄程度一卷装一盒或者几卷装一盒，并规范填写盒脊和封面信息。</w:t>
            </w:r>
          </w:p>
        </w:tc>
      </w:tr>
    </w:tbl>
    <w:p>
      <w:pPr>
        <w:pStyle w:val="null3"/>
      </w:pPr>
      <w:r>
        <w:rPr>
          <w:rFonts w:ascii="仿宋_GB2312" w:hAnsi="仿宋_GB2312" w:cs="仿宋_GB2312" w:eastAsia="仿宋_GB2312"/>
        </w:rPr>
        <w:t>标的名称：整理馆藏1996-2015年出生医学证明资料约11万余人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整理馆藏</w:t>
            </w:r>
            <w:r>
              <w:rPr>
                <w:rFonts w:ascii="仿宋_GB2312" w:hAnsi="仿宋_GB2312" w:cs="仿宋_GB2312" w:eastAsia="仿宋_GB2312"/>
                <w:sz w:val="24"/>
              </w:rPr>
              <w:t>1996-2015年出生医学证明资料约11万</w:t>
            </w:r>
            <w:r>
              <w:rPr>
                <w:rFonts w:ascii="仿宋_GB2312" w:hAnsi="仿宋_GB2312" w:cs="仿宋_GB2312" w:eastAsia="仿宋_GB2312"/>
                <w:sz w:val="24"/>
              </w:rPr>
              <w:t>余人</w:t>
            </w:r>
          </w:p>
          <w:p>
            <w:pPr>
              <w:pStyle w:val="null3"/>
              <w:jc w:val="both"/>
            </w:pPr>
            <w:r>
              <w:rPr>
                <w:rFonts w:ascii="仿宋_GB2312" w:hAnsi="仿宋_GB2312" w:cs="仿宋_GB2312" w:eastAsia="仿宋_GB2312"/>
                <w:sz w:val="24"/>
              </w:rPr>
              <w:t>（一）技术标准及规范性文件。《档号编制规则》（</w:t>
            </w:r>
            <w:r>
              <w:rPr>
                <w:rFonts w:ascii="仿宋_GB2312" w:hAnsi="仿宋_GB2312" w:cs="仿宋_GB2312" w:eastAsia="仿宋_GB2312"/>
                <w:sz w:val="24"/>
              </w:rPr>
              <w:t>DA/T13-2022）、《档案著录规则》(DA/T18-2022)、《归档文件整理规则》（DA/T22-2015）、《档案服务外包工作规范》（DA/T68-2020）。</w:t>
            </w:r>
          </w:p>
          <w:p>
            <w:pPr>
              <w:pStyle w:val="null3"/>
              <w:jc w:val="both"/>
            </w:pPr>
            <w:r>
              <w:rPr>
                <w:rFonts w:ascii="仿宋_GB2312" w:hAnsi="仿宋_GB2312" w:cs="仿宋_GB2312" w:eastAsia="仿宋_GB2312"/>
                <w:sz w:val="24"/>
              </w:rPr>
              <w:t>（二）工作内容</w:t>
            </w:r>
          </w:p>
          <w:p>
            <w:pPr>
              <w:pStyle w:val="null3"/>
              <w:ind w:firstLine="400"/>
              <w:jc w:val="both"/>
            </w:pPr>
            <w:r>
              <w:rPr>
                <w:rFonts w:ascii="仿宋_GB2312" w:hAnsi="仿宋_GB2312" w:cs="仿宋_GB2312" w:eastAsia="仿宋_GB2312"/>
                <w:sz w:val="24"/>
              </w:rPr>
              <w:t>主要包括：清点核对、规范整理、目录著录、质量自检、验收移交等。</w:t>
            </w:r>
          </w:p>
          <w:p>
            <w:pPr>
              <w:pStyle w:val="null3"/>
              <w:jc w:val="both"/>
            </w:pPr>
            <w:r>
              <w:rPr>
                <w:rFonts w:ascii="仿宋_GB2312" w:hAnsi="仿宋_GB2312" w:cs="仿宋_GB2312" w:eastAsia="仿宋_GB2312"/>
                <w:sz w:val="24"/>
              </w:rPr>
              <w:t>（三）过程管理</w:t>
            </w:r>
          </w:p>
          <w:p>
            <w:pPr>
              <w:pStyle w:val="null3"/>
              <w:ind w:firstLine="400"/>
              <w:jc w:val="both"/>
            </w:pPr>
            <w:r>
              <w:rPr>
                <w:rFonts w:ascii="仿宋_GB2312" w:hAnsi="仿宋_GB2312" w:cs="仿宋_GB2312" w:eastAsia="仿宋_GB2312"/>
                <w:sz w:val="24"/>
              </w:rPr>
              <w:t>1.建立并落实档案安全保密管理机制、质量管理机制，明确责任，加强管理，严格监督，确保档案原件的安全，确保各环节工作符合质量要求。</w:t>
            </w:r>
          </w:p>
          <w:p>
            <w:pPr>
              <w:pStyle w:val="null3"/>
              <w:jc w:val="both"/>
            </w:pPr>
            <w:r>
              <w:rPr>
                <w:rFonts w:ascii="仿宋_GB2312" w:hAnsi="仿宋_GB2312" w:cs="仿宋_GB2312" w:eastAsia="仿宋_GB2312"/>
                <w:sz w:val="24"/>
              </w:rPr>
              <w:t>2.建立完整、规范的工作记录并及时整理、汇总，在项目完成的同时建立起完整、规范的台账。</w:t>
            </w:r>
          </w:p>
          <w:p>
            <w:pPr>
              <w:pStyle w:val="null3"/>
              <w:jc w:val="both"/>
            </w:pPr>
            <w:r>
              <w:rPr>
                <w:rFonts w:ascii="仿宋_GB2312" w:hAnsi="仿宋_GB2312" w:cs="仿宋_GB2312" w:eastAsia="仿宋_GB2312"/>
                <w:sz w:val="24"/>
              </w:rPr>
              <w:t>（四）整理规则</w:t>
            </w:r>
          </w:p>
          <w:p>
            <w:pPr>
              <w:pStyle w:val="null3"/>
              <w:ind w:firstLine="480"/>
              <w:jc w:val="both"/>
            </w:pPr>
            <w:r>
              <w:rPr>
                <w:rFonts w:ascii="仿宋_GB2312" w:hAnsi="仿宋_GB2312" w:cs="仿宋_GB2312" w:eastAsia="仿宋_GB2312"/>
                <w:sz w:val="24"/>
              </w:rPr>
              <w:t>1996-2015年出生医学证明：以“件”为单位对出生医学证明文件材料进行清点、组件、分类、修整、装订、编号、装盒、上架等，使之规范有序、便于提供利用。各工作环节要求如下：</w:t>
            </w:r>
          </w:p>
          <w:p>
            <w:pPr>
              <w:pStyle w:val="null3"/>
              <w:ind w:firstLine="400"/>
              <w:jc w:val="both"/>
            </w:pPr>
            <w:r>
              <w:rPr>
                <w:rFonts w:ascii="仿宋_GB2312" w:hAnsi="仿宋_GB2312" w:cs="仿宋_GB2312" w:eastAsia="仿宋_GB2312"/>
                <w:sz w:val="24"/>
              </w:rPr>
              <w:t>①清点：逐件核对出生医学证明实体与医疗机构交接清单，并对缺件、破损、错装等情况做好登记。</w:t>
            </w:r>
          </w:p>
          <w:p>
            <w:pPr>
              <w:pStyle w:val="null3"/>
              <w:ind w:firstLine="400"/>
              <w:jc w:val="both"/>
            </w:pPr>
            <w:r>
              <w:rPr>
                <w:rFonts w:ascii="仿宋_GB2312" w:hAnsi="仿宋_GB2312" w:cs="仿宋_GB2312" w:eastAsia="仿宋_GB2312"/>
                <w:sz w:val="24"/>
              </w:rPr>
              <w:t>②组件：按“一孩一件一档”原则组件，件内文件按分类和归档范围要求排序。</w:t>
            </w:r>
          </w:p>
          <w:p>
            <w:pPr>
              <w:pStyle w:val="null3"/>
              <w:ind w:firstLine="400"/>
              <w:jc w:val="both"/>
            </w:pPr>
            <w:r>
              <w:rPr>
                <w:rFonts w:ascii="仿宋_GB2312" w:hAnsi="仿宋_GB2312" w:cs="仿宋_GB2312" w:eastAsia="仿宋_GB2312"/>
                <w:sz w:val="24"/>
              </w:rPr>
              <w:t>③分类：按档案门类、发证类型、形成年度、保管期限等分类进行整理。</w:t>
            </w:r>
          </w:p>
          <w:p>
            <w:pPr>
              <w:pStyle w:val="null3"/>
              <w:ind w:firstLine="400"/>
              <w:jc w:val="both"/>
            </w:pPr>
            <w:r>
              <w:rPr>
                <w:rFonts w:ascii="仿宋_GB2312" w:hAnsi="仿宋_GB2312" w:cs="仿宋_GB2312" w:eastAsia="仿宋_GB2312"/>
                <w:sz w:val="24"/>
              </w:rPr>
              <w:t>④修整：文件资料已破损的，予以修复；字迹模糊或者褪变的，应予复制；对于幅面不利于长久保存的，应在不影响后期使用效果的前提下进行修整。</w:t>
            </w:r>
          </w:p>
          <w:p>
            <w:pPr>
              <w:pStyle w:val="null3"/>
              <w:ind w:firstLine="400"/>
              <w:jc w:val="both"/>
            </w:pPr>
            <w:r>
              <w:rPr>
                <w:rFonts w:ascii="仿宋_GB2312" w:hAnsi="仿宋_GB2312" w:cs="仿宋_GB2312" w:eastAsia="仿宋_GB2312"/>
                <w:sz w:val="24"/>
              </w:rPr>
              <w:t xml:space="preserve">⑤装订：以件为单位装订。装订后应做到不损页、不倒页、不压字，装订后平整、美观。           </w:t>
            </w:r>
          </w:p>
          <w:p>
            <w:pPr>
              <w:pStyle w:val="null3"/>
              <w:ind w:firstLine="400"/>
              <w:jc w:val="both"/>
            </w:pPr>
            <w:r>
              <w:rPr>
                <w:rFonts w:ascii="仿宋_GB2312" w:hAnsi="仿宋_GB2312" w:cs="仿宋_GB2312" w:eastAsia="仿宋_GB2312"/>
                <w:sz w:val="24"/>
              </w:rPr>
              <w:t>⑥编号：以件为单位逐页编制页码，不能出现漏编、错漏、重号现象。编制档号：档号编制规范，指代单一，体现档案来源、档案门类、分类体系和排列顺序等属性。</w:t>
            </w:r>
          </w:p>
          <w:p>
            <w:pPr>
              <w:pStyle w:val="null3"/>
              <w:ind w:firstLine="400"/>
              <w:jc w:val="both"/>
            </w:pPr>
            <w:r>
              <w:rPr>
                <w:rFonts w:ascii="仿宋_GB2312" w:hAnsi="仿宋_GB2312" w:cs="仿宋_GB2312" w:eastAsia="仿宋_GB2312"/>
                <w:sz w:val="24"/>
              </w:rPr>
              <w:t>⑦装盒：将整理完成后的档案装进定制档案盒中，档案盒盒脊内容标识清晰。</w:t>
            </w:r>
          </w:p>
          <w:p>
            <w:pPr>
              <w:pStyle w:val="null3"/>
            </w:pPr>
            <w:r>
              <w:rPr>
                <w:rFonts w:ascii="仿宋_GB2312" w:hAnsi="仿宋_GB2312" w:cs="仿宋_GB2312" w:eastAsia="仿宋_GB2312"/>
                <w:sz w:val="24"/>
              </w:rPr>
              <w:t xml:space="preserve">   ⑧填写备考表：整理人和整理日期签字手续完备，对盒内归档的特殊情况予以说明。</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1、结算要求：项目完工后根据实际完成的工作量进行结算。结算方式为数量乘以单价计算实际服务费用，但总价款不超过投标报价（成交价），其中单价不受市场价格变化因素的影响。 2、编制目录内容规范准确，符合国家《纸质档案著录规则》要求。 3、供应商必须建立严格的质量检测体系，明确专人对整理完成的档案和目录数据进行全面自检。 4、供应商三年来未发生档案安全事故、泄密事件，无非法获取、非法持有国家秘密载体等保密违法行为记录。 5、成交供应商的人员必须接受采购人组织的档案保密安全教育,并自觉学习保密知识,成交供应商须加强对工作人员的保密教育。严格遵守《档案法》《保密法》及其他有关法规,严防泄密现象发生。 6、成交供应商在签订合同时成立项目组，指定具有档案整理项目管理经验的人员为项目经理，未经采购人同意不得随意更换项目经理。供应商应保证在项目运行期间工作人员队伍稳定，尤其是项目业务骨干的变动不得超过50%。业务骨干占比不得低于40%，要求必须有一年以上的档案整理工作经验。成交供应商设置专门的质检小组，质检人员要求有档案整理工作经验。 7、服务地点由西安市档案馆指定，服务过程中所需设备、整理档案需要的所有耗材等由供应商自行准备，所用的设备需满足国产化要求（以响应文件提供的“关于符合本国产品标准的声明函”为准），所需设备、耗材等采购人不再单独提供。工作时间与档案馆同步。 8、为保证数据安全，进入整理场地的计算机配备全新硬盘，离场时所有使用过的硬盘无偿交付给西安市档案馆。 9、成交供应商提交的目录数据格式须符合相关标准要求。 10、成交供应商对提交的数据质量终身负责。 11、所有工作人员进入档案整理场地不得携带有存储、照相、摄像功能的设备，项目实施过程中不得将工作场所内的任何档案资料带出工作场所外。 12、成交供应商工作人员在计算机上升级、安装软件时需要携带存储设备进场的需经西安市档案馆批准，并在工作人员陪同下完成软件的升级、安装工作。 13、成交供应商须有档案安全、保密管理制度、加工场所管理制度、人员管理制度等。 14、成交供应商人员必须保持工作场所的整洁有序，工作场所内不能饮食，场所外饮食后产生的垃圾要即时清理。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自合同签订之日起至2026年11月20日完成全部整理并通过项目验收。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西安市档案馆指定地点。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2011-2014年创文迎检资料：进度管控：服务商需制订可行性项目计划，并按计划要求推进，因服务商原因逾期按合同要求追责；收尾交付：项目全部完成后5个工作日内提交成果清单、目录数据、验收申请。经乙方自检合格的归档文件与目录数据，递交甲方验收。验收采取阶段验收和终验相结合的方式：甲方每周对乙方已完成的归档文件和目录数据进行检查验收，对不符合规范要求的，立即返回乙方重新整理加工，直至合格；项目整体完成后，甲方组成验收小组进行终验。验收时进行抽检，抽检比例20%，抽检合格率不低于98%。项目验收完成后，乙方需按库房管理完成档案入库上架，确保档案排列整齐、顺序规范、位置准确、方便检索管理。 2、1996-2015年出生医学证明：阶段交付：按医疗机构分批次推进，每批次完成后3个工作日内提请验收；进度管控：服务商需制订可行性项目计划，并按计划要求推进，因服务商原因逾期按合同要求追责；收尾交付：项目全部完成后5个工作日内提交成果清单、目录数据、验收申请。经乙方自检合格的归档文件与目录数据，递交甲方验收。验收采取阶段验收和终验相结合的方式：甲方每周对乙方已完成的归档文件和目录数据进行检查验收，对不符合规范要求的，立即返回乙方重新整理加工，直至合格；项目整体完成后，甲方组成验收小组进行终验。验收时进行抽检，抽检比例20%，抽检合格率不低于98%。项目验收完成后，乙方需按库房管理完成档案入库上架，确保档案排列整齐、顺序规范、位置准确、方便检索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合同签约后，乙方满足人员、设备、场地要求规范且开始加工</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在规定的服务期限内，乙方完成所有整理任务且甲方组织验收小组对项目验收合格后，支付剩余款项的100.00%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1、供应商需要在线提交所有通过电子化交易平台实施的政府采购项目的响应文件，同时，线下提交纸质响应文件正本壹份、副本贰份、电子版贰份（U盘贰份）。 2、纸质响应文件正副本分别胶装，标明供应商名称密封递交。 3、线下纸质文件递交截止时间：同在线递交电子响应文件截止时间一致；线下纸质文件递交地点：西安市碑林区南二环西段21号华融国际商务大厦A座21层D室。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提供投标截止日前一年内任意一个月纳税证明或完税证明，依法免税或无须缴纳税收的供应商，应提供相应证明文件。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供应商须具有有效的国家秘密载体印制资质（资质类别为涉密档案数字化加工），省外乙级资质企业须在陕西省省级保密行政管理部门完成备案，并提供合法有效的备案证明材料。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业绩一览表.docx 关于符合本国产品标准的声明函.docx 中小企业声明函 商务应答表 报价表 响应文件封面 分项报价表.docx 供应商应提交的相关资格证明材料.docx 残疾人福利性单位声明函 服务方案 标的清单 服务内容及服务邀请应答表.docx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业绩一览表.docx 关于符合本国产品标准的声明函.docx 中小企业声明函 商务应答表 报价表 响应文件封面 分项报价表.docx 供应商应提交的相关资格证明材料.docx 残疾人福利性单位声明函 服务方案 标的清单 服务内容及服务邀请应答表.docx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内容包含：①项目需求理解②服务流程③项目实施细则④工作思路及任务⑤内部管理制度⑥档案整理存在的难点和重点分析。按其响应程度进行综合赋分。（1）每有一项内容进行了详细阐述且完全满足项目需求的，得3分；（2）每有一项内容进行了阐述且基本满足项目需求的，得2分；（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进度计划方案</w:t>
            </w:r>
          </w:p>
        </w:tc>
        <w:tc>
          <w:tcPr>
            <w:tcW w:type="dxa" w:w="2492"/>
          </w:tcPr>
          <w:p>
            <w:pPr>
              <w:pStyle w:val="null3"/>
            </w:pPr>
            <w:r>
              <w:rPr>
                <w:rFonts w:ascii="仿宋_GB2312" w:hAnsi="仿宋_GB2312" w:cs="仿宋_GB2312" w:eastAsia="仿宋_GB2312"/>
              </w:rPr>
              <w:t>根据项目实际情况制定进度计划方案。内容包含：①总体进度安排②进度检查和评估措施。按其响应程度进行综合赋分。 （1）每有一项内容进行了详细阐述且完全满足项目需求的，得3分；（2）每有一项内容进行了阐述且基本满足项目需求的，得2分；（3）每有一项内容进行了阐述但并未完全满足项目需求，或内容未包括细节或措施的，得1分；（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项目实际需求提供质量保障方案。内容包含：①质量目标及控制方案②质量保证措施③质保响应时间及质保服务标准④拟投入设备及管理措施（提供设备品牌、型号、功能及整理档案所需要的耗材清单的相关证明文件）。按其响应程度进行综合赋分。（1）每有一项内容进行了详细阐述且完全满足项目需求的，得3分；（2）每有一项内容进行了阐述且基本满足项目需求的，得2分；（3）每有一项内容进行了阐述但并未完全满足项目需求，或内容未包括细节或措施的，得1分；（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安全保障及保密方案</w:t>
            </w:r>
          </w:p>
        </w:tc>
        <w:tc>
          <w:tcPr>
            <w:tcW w:type="dxa" w:w="2492"/>
          </w:tcPr>
          <w:p>
            <w:pPr>
              <w:pStyle w:val="null3"/>
            </w:pPr>
            <w:r>
              <w:rPr>
                <w:rFonts w:ascii="仿宋_GB2312" w:hAnsi="仿宋_GB2312" w:cs="仿宋_GB2312" w:eastAsia="仿宋_GB2312"/>
              </w:rPr>
              <w:t>根据项目实际需求提供安全保障及保密方案。内容包含：①安全保障制度②保密管理制度③特殊人员的保密措施④保密教育培训等。按其响应程度进行综合赋分。 （1）每有一项内容进行了详细阐述且完全满足项目需求的，得2分； （2）每有一项内容进行了阐述且基本满足项目需求的，得1.5分； （3）每有一项内容进行了阐述但并未完全满足项目需求，或内容未包括细节或措施的，得1分；（4）每有一项内容未进行阐述或阐述内容无法满足项目需求的，得0分。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根据项目实际需求提供后续服务保障措施进行阐述，内容包含：①后续配合服务计划②针对采购人的服务要求能够及时响应，并提供完整的服务承诺③后续服务进度保障措施④后续服务质量保障等。按其响应程度进行综合赋分。（1）每有一项内容进行了详细阐述且完全满足项目需求的，得3分；（2）每有一项内容进行了阐述且基本满足项目需求的，得2分；（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团队配备情况有针对性，能够确保项目顺利实施，内容包含拟派人员①数量（项目主管、专业档案整理人员、安全保密管理人员（保密员）、质量检验人员、其他工种人员等）；②学历证书及身份证件；③各专业人员职责任务；④类似项目经验等（以合同复印件或采购方出具证明材料为准）。 按其响应程度进行综合赋分。 （1）团队人员配备充足，能够完全满足本项目需求的，每项得3分；（2）团队人员配备齐全，基本能满足本项目需求的，每项得2分；（3）团队人员配备不足，无法满足本项目需求的，每项得0分。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供应商提供本项目应急预案，内容全面、详细、准确，并贴合项目实际需求。 ①目标、原则及适用范围；②应急组织架构及配置；③突发事件预评估及分类；④各场景应对方案及保障措施；⑤应急响应机制及流程；⑥现场突发安全事故应急等 （1）每有一项内容进行了详细阐述且完全满足项目需求的，得2分； （2）每有一项内容进行了阐述且基本满足项目需求的，得1.5分； （3）每有一项内容进行了阐述但并未完全满足项目需求，或内容未包括细节或措施的，得1分； （4）每有一项内容未进行阐述或阐述内容无法满足项目需求的，得0分。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供应商应提供2023年1月1日以来类似项目业绩（以合同签订时间或验收文件时间为准），每提供一项有效业绩得2分，最高得10分。 注：以合同及验收文件复印件加盖公章为准。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x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