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版本号：SXHJZB-2026-0420260409001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食材配送服务项目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SXHJZB-2026-04</w:t>
      </w:r>
      <w:r>
        <w:br/>
      </w:r>
      <w:r>
        <w:br/>
      </w:r>
      <w:r>
        <w:br/>
      </w:r>
    </w:p>
    <w:p>
      <w:pPr>
        <w:pStyle w:val="null3"/>
        <w:jc w:val="center"/>
        <w:outlineLvl w:val="2"/>
      </w:pPr>
      <w:r>
        <w:rPr>
          <w:rFonts w:ascii="仿宋_GB2312" w:hAnsi="仿宋_GB2312" w:cs="仿宋_GB2312" w:eastAsia="仿宋_GB2312"/>
          <w:sz w:val="28"/>
          <w:b/>
        </w:rPr>
        <w:t>西安市三民村垃圾处理中转站</w:t>
      </w:r>
    </w:p>
    <w:p>
      <w:pPr>
        <w:pStyle w:val="null3"/>
        <w:jc w:val="center"/>
        <w:outlineLvl w:val="2"/>
      </w:pPr>
      <w:r>
        <w:rPr>
          <w:rFonts w:ascii="仿宋_GB2312" w:hAnsi="仿宋_GB2312" w:cs="仿宋_GB2312" w:eastAsia="仿宋_GB2312"/>
          <w:sz w:val="28"/>
          <w:b/>
        </w:rPr>
        <w:t>陕西华璟项目管理有限公司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陕西华璟项目管理有限公司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西安市三民村垃圾处理中转站</w:t>
      </w:r>
      <w:r>
        <w:rPr>
          <w:rFonts w:ascii="仿宋_GB2312" w:hAnsi="仿宋_GB2312" w:cs="仿宋_GB2312" w:eastAsia="仿宋_GB2312"/>
        </w:rPr>
        <w:t>委托，拟对</w:t>
      </w:r>
      <w:r>
        <w:rPr>
          <w:rFonts w:ascii="仿宋_GB2312" w:hAnsi="仿宋_GB2312" w:cs="仿宋_GB2312" w:eastAsia="仿宋_GB2312"/>
        </w:rPr>
        <w:t>食材配送服务项目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SXHJZB-2026-04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食材配送服务项目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为单位职工餐厅餐品制作提供所需食材（包括但不仅限于大米、面粉、食用油、面条、米线、肉类、禽蛋以及蔬菜类、牛奶、水果、调料干杂类等大宗食品）。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采购包1（食材配送服务项目）：属于专门面向中小企业采购。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参加政府采购活动前3年内在经营活动中没有重大违法记录：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p>
      <w:pPr>
        <w:pStyle w:val="null3"/>
      </w:pPr>
      <w:r>
        <w:rPr>
          <w:rFonts w:ascii="仿宋_GB2312" w:hAnsi="仿宋_GB2312" w:cs="仿宋_GB2312" w:eastAsia="仿宋_GB2312"/>
        </w:rPr>
        <w:t>3、信用主体查询：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供应商需在项目电子化交易系统中按要求上传相应证明文件并进行电子签章。</w:t>
      </w:r>
    </w:p>
    <w:p>
      <w:pPr>
        <w:pStyle w:val="null3"/>
      </w:pPr>
      <w:r>
        <w:rPr>
          <w:rFonts w:ascii="仿宋_GB2312" w:hAnsi="仿宋_GB2312" w:cs="仿宋_GB2312" w:eastAsia="仿宋_GB2312"/>
        </w:rPr>
        <w:t>4、 财务状况报告：提供2024年或2025年度经会计师事务所或审计机构出具完整的财务审计报告（至少包括资产负债表和利润表，成立时间至提交响应文件截止时间不足一年的可提供成立后任意时段的资产负债表），或其基本存款账户开户银行出具的资信证明（以上两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5、 社保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6、税收缴纳证明：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pPr>
        <w:pStyle w:val="null3"/>
      </w:pPr>
      <w:r>
        <w:rPr>
          <w:rFonts w:ascii="仿宋_GB2312" w:hAnsi="仿宋_GB2312" w:cs="仿宋_GB2312" w:eastAsia="仿宋_GB2312"/>
        </w:rPr>
        <w:t>7、法定代表人授权书：法定代表人授权书及被授权人身份证复印件（法定代表人直接参加投标只须提供法定代表人身份证明）；供应商需在项目电子化交易系统中按要求上传相应证明文件并进行电子签章。</w:t>
      </w:r>
    </w:p>
    <w:p>
      <w:pPr>
        <w:pStyle w:val="null3"/>
      </w:pPr>
      <w:r>
        <w:rPr>
          <w:rFonts w:ascii="仿宋_GB2312" w:hAnsi="仿宋_GB2312" w:cs="仿宋_GB2312" w:eastAsia="仿宋_GB2312"/>
        </w:rPr>
        <w:t>8、企业资质：提供有效的《食品经营许可证》；供应商需在项目电子化交易系统中按要求上传相应证明文件并进行电子签章。</w:t>
      </w:r>
    </w:p>
    <w:p>
      <w:pPr>
        <w:pStyle w:val="null3"/>
      </w:pPr>
      <w:r>
        <w:rPr>
          <w:rFonts w:ascii="仿宋_GB2312" w:hAnsi="仿宋_GB2312" w:cs="仿宋_GB2312" w:eastAsia="仿宋_GB2312"/>
        </w:rPr>
        <w:t>9、本项目不接受联合体响应，不允许分包： 供应商提供《非联合体、不分包投标声明》，视为独立响应，不分包；供应商应提供承诺书，格式及内容具体参见“响应文件格式”。</w:t>
      </w:r>
    </w:p>
    <w:p>
      <w:pPr>
        <w:pStyle w:val="null3"/>
      </w:pPr>
      <w:r>
        <w:rPr>
          <w:rFonts w:ascii="仿宋_GB2312" w:hAnsi="仿宋_GB2312" w:cs="仿宋_GB2312" w:eastAsia="仿宋_GB2312"/>
        </w:rPr>
        <w:t>10、 声明： 供应商提供具有履行合同所必需的设备和专业技术能力的声明；供应商应提供承诺书，格式及内容具体参见“响应文件格式”。</w:t>
      </w:r>
    </w:p>
    <w:p>
      <w:pPr>
        <w:pStyle w:val="null3"/>
      </w:pPr>
      <w:r>
        <w:rPr>
          <w:rFonts w:ascii="仿宋_GB2312" w:hAnsi="仿宋_GB2312" w:cs="仿宋_GB2312" w:eastAsia="仿宋_GB2312"/>
        </w:rPr>
        <w:t>11、本项目专门面向中小企业采购： 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西安市三民村垃圾处理中转站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西安市莲湖区大兴西路45号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17766668864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陕西省西安市高新区沣惠南路与科技二路交叉路口西南侧泰华金贸国际6号楼902室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15929736865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 户名：陕西华璟项目管理有限公司 开户行：中国工商银行股份有限公司西安高新技术开发区支行 账号：3700024609200529721 汇款备注：项目名称+代理服务费（可简写）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西安市三民村垃圾处理中转站</w:t>
      </w:r>
      <w:r>
        <w:rPr>
          <w:rFonts w:ascii="仿宋_GB2312" w:hAnsi="仿宋_GB2312" w:cs="仿宋_GB2312" w:eastAsia="仿宋_GB2312"/>
        </w:rPr>
        <w:t>和</w:t>
      </w:r>
      <w:r>
        <w:rPr>
          <w:rFonts w:ascii="仿宋_GB2312" w:hAnsi="仿宋_GB2312" w:cs="仿宋_GB2312" w:eastAsia="仿宋_GB2312"/>
        </w:rPr>
        <w:t>陕西华璟项目管理有限公司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西安市三民村垃圾处理中转站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西安市三民村垃圾处理中转站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联系人：周晓</w:t>
      </w:r>
    </w:p>
    <w:p>
      <w:pPr>
        <w:pStyle w:val="null3"/>
      </w:pPr>
      <w:r>
        <w:rPr>
          <w:rFonts w:ascii="仿宋_GB2312" w:hAnsi="仿宋_GB2312" w:cs="仿宋_GB2312" w:eastAsia="仿宋_GB2312"/>
        </w:rPr>
        <w:t>联系电话：15929736865</w:t>
      </w:r>
    </w:p>
    <w:p>
      <w:pPr>
        <w:pStyle w:val="null3"/>
      </w:pPr>
      <w:r>
        <w:rPr>
          <w:rFonts w:ascii="仿宋_GB2312" w:hAnsi="仿宋_GB2312" w:cs="仿宋_GB2312" w:eastAsia="仿宋_GB2312"/>
        </w:rPr>
        <w:t>地址：陕西省西安市高新区沣惠南路与科技二路交叉路口西南侧泰华金贸国际6号楼902室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为单位职工餐厅餐品制作提供所需食材（包括但不仅限于大米、面粉、食用油、面条、米线、肉类、禽蛋以及蔬菜类、牛奶、水果、调料干杂类等大宗食品）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249,000.00</w:t>
      </w:r>
    </w:p>
    <w:p>
      <w:pPr>
        <w:pStyle w:val="null3"/>
      </w:pPr>
      <w:r>
        <w:rPr>
          <w:rFonts w:ascii="仿宋_GB2312" w:hAnsi="仿宋_GB2312" w:cs="仿宋_GB2312" w:eastAsia="仿宋_GB2312"/>
        </w:rPr>
        <w:t>采购包最高限价（元）: 249,000.00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物业综合服务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249,000.00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标的名称：物业综合服务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4"/>
              </w:rPr>
              <w:t>一、项目概况：</w:t>
            </w:r>
            <w:r>
              <w:rPr>
                <w:rFonts w:ascii="仿宋_GB2312" w:hAnsi="仿宋_GB2312" w:cs="仿宋_GB2312" w:eastAsia="仿宋_GB2312"/>
                <w:sz w:val="24"/>
              </w:rPr>
              <w:t>为单位</w:t>
            </w:r>
            <w:r>
              <w:rPr>
                <w:rFonts w:ascii="仿宋_GB2312" w:hAnsi="仿宋_GB2312" w:cs="仿宋_GB2312" w:eastAsia="仿宋_GB2312"/>
                <w:sz w:val="24"/>
              </w:rPr>
              <w:t>职工餐厅餐品制作提供所需食材（包括但不仅限于大米、面粉、食用油、面条、米线、肉类、禽蛋以及蔬菜类、牛奶、水果、调料干杂类等大宗食品）；</w:t>
            </w:r>
          </w:p>
          <w:p>
            <w:pPr>
              <w:pStyle w:val="null3"/>
              <w:ind w:firstLine="640"/>
              <w:jc w:val="both"/>
            </w:pPr>
            <w:r>
              <w:rPr>
                <w:rFonts w:ascii="仿宋_GB2312" w:hAnsi="仿宋_GB2312" w:cs="仿宋_GB2312" w:eastAsia="仿宋_GB2312"/>
                <w:sz w:val="24"/>
              </w:rPr>
              <w:t>二、服务要求</w:t>
            </w:r>
            <w:r>
              <w:rPr>
                <w:rFonts w:ascii="仿宋_GB2312" w:hAnsi="仿宋_GB2312" w:cs="仿宋_GB2312" w:eastAsia="仿宋_GB2312"/>
                <w:sz w:val="24"/>
              </w:rPr>
              <w:t>:</w:t>
            </w:r>
          </w:p>
          <w:p>
            <w:pPr>
              <w:pStyle w:val="null3"/>
              <w:ind w:firstLine="640"/>
              <w:jc w:val="both"/>
            </w:pPr>
            <w:r>
              <w:rPr>
                <w:rFonts w:ascii="仿宋_GB2312" w:hAnsi="仿宋_GB2312" w:cs="仿宋_GB2312" w:eastAsia="仿宋_GB2312"/>
                <w:sz w:val="24"/>
              </w:rPr>
              <w:t>1、配送及时，所有食材必须符合国家有关标准，保证新鲜、无异味、无霉烂变质，外观干爽保证食用安全，绝无药等有害物质的留存，提供相关检验检疫合格证。</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2、所配送食材外包装上必须标明生产日期、保质期、执行标准、储存条件、生产厂家、产地等信息；剩余保存期不得少于标注保质期的三分之二；包装材料应清洁、卫生，符合国家食品安全标准的规定。</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3、鲜活类食材必须采用符合产品保鲜条件的冷链运输工具运输。由中标人负责组织专人专车严格按照采购人要求进行配送，因运输装卸过程中造成的损耗（例如包装严重变形、破损，食品污损、腐败变质等），发现的破损、腐败变质等食品必须无条件更换，并不附加任何费用。运输车辆定时做好消杀防护,配送人员必须身体健康,确保食品安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 合同签订后，甲方收到增值税普通发票后 ，达到付款条件起 10 日内，支付合同总金额的 50.00%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付款条件说明： 2026年第三季度结束，经验收合格，甲方收到增值税发票后 ，达到付款条件起 10 日内，支付合同总金额的 25.00%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 2026年第四季度，于12月初进行验收，经验收合格，甲方收到增值税发票后 ，达到付款条件起 10 日内，支付合同总金额的 25.00%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一、餐饮业。从业人员300人以下或营业收入10000万元以下的为中小微型企业。其中，从业人员100人及以上，且营业收入2000万元及以上的为中型企业；从业 人员10人及以上，且营业收入100万元及以上的为小型企业；从业人员10人以下或营 业收入100万元以下的为微型企业。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财务状况报告</w:t>
            </w:r>
          </w:p>
        </w:tc>
        <w:tc>
          <w:tcPr>
            <w:tcW w:type="dxa" w:w="3322"/>
          </w:tcPr>
          <w:p>
            <w:pPr>
              <w:pStyle w:val="null3"/>
            </w:pPr>
            <w:r>
              <w:rPr>
                <w:rFonts w:ascii="仿宋_GB2312" w:hAnsi="仿宋_GB2312" w:cs="仿宋_GB2312" w:eastAsia="仿宋_GB2312"/>
              </w:rPr>
              <w:t>提供2024年或2025年度经会计师事务所或审计机构出具完整的财务审计报告（至少包括资产负债表和利润表，成立时间至提交响应文件截止时间不足一年的可提供成立后任意时段的资产负债表），或其基本存款账户开户银行出具的资信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 xml:space="preserve"> 社保缴纳证明</w:t>
            </w:r>
          </w:p>
        </w:tc>
        <w:tc>
          <w:tcPr>
            <w:tcW w:type="dxa" w:w="3322"/>
          </w:tcPr>
          <w:p>
            <w:pPr>
              <w:pStyle w:val="null3"/>
            </w:pPr>
            <w:r>
              <w:rPr>
                <w:rFonts w:ascii="仿宋_GB2312" w:hAnsi="仿宋_GB2312" w:cs="仿宋_GB2312" w:eastAsia="仿宋_GB2312"/>
              </w:rPr>
              <w:t>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法定代表人授权书及被授权人身份证复印件（法定代表人直接参加投标只须提供法定代表人身份证明）；供应商需在项目电子化交易系统中按要求上传相应证明文件并进行电子签章。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提供有效的《食品经营许可证》；供应商需在项目电子化交易系统中按要求上传相应证明文件并进行电子签章。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 xml:space="preserve"> 供应商提供《非联合体、不分包投标声明》，视为独立响应，不分包；供应商应提供承诺书，格式及内容具体参见“响应文件格式”。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 xml:space="preserve"> 声明</w:t>
            </w:r>
          </w:p>
        </w:tc>
        <w:tc>
          <w:tcPr>
            <w:tcW w:type="dxa" w:w="3322"/>
          </w:tcPr>
          <w:p>
            <w:pPr>
              <w:pStyle w:val="null3"/>
            </w:pPr>
            <w:r>
              <w:rPr>
                <w:rFonts w:ascii="仿宋_GB2312" w:hAnsi="仿宋_GB2312" w:cs="仿宋_GB2312" w:eastAsia="仿宋_GB2312"/>
              </w:rPr>
              <w:t xml:space="preserve"> 供应商提供具有履行合同所必需的设备和专业技术能力的声明；供应商应提供承诺书，格式及内容具体参见“响应文件格式”。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 xml:space="preserve">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响应文件的签署、加盖印章要求是否合格、有效</w:t>
            </w:r>
          </w:p>
        </w:tc>
        <w:tc>
          <w:tcPr>
            <w:tcW w:type="dxa" w:w="3322"/>
          </w:tcPr>
          <w:p>
            <w:pPr>
              <w:pStyle w:val="null3"/>
            </w:pPr>
            <w:r>
              <w:rPr>
                <w:rFonts w:ascii="仿宋_GB2312" w:hAnsi="仿宋_GB2312" w:cs="仿宋_GB2312" w:eastAsia="仿宋_GB2312"/>
              </w:rPr>
              <w:t xml:space="preserve"> 符合磋商文件要求</w:t>
            </w:r>
          </w:p>
        </w:tc>
        <w:tc>
          <w:tcPr>
            <w:tcW w:type="dxa" w:w="1661"/>
          </w:tcPr>
          <w:p>
            <w:pPr>
              <w:pStyle w:val="null3"/>
            </w:pPr>
            <w:r>
              <w:rPr>
                <w:rFonts w:ascii="仿宋_GB2312" w:hAnsi="仿宋_GB2312" w:cs="仿宋_GB2312" w:eastAsia="仿宋_GB2312"/>
              </w:rPr>
              <w:t>供应商认为应该提交的其他资料.docx 中小企业声明函 合同条款响应表.docx 报价表 商务应答表.docx 资格证明文件.docx 响应文件封面 残疾人福利性单位声明函 服务方案 标的清单 服务内容及服务邀请应答表.docx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 xml:space="preserve"> 符合磋商文件要求</w:t>
            </w:r>
          </w:p>
        </w:tc>
        <w:tc>
          <w:tcPr>
            <w:tcW w:type="dxa" w:w="1661"/>
          </w:tcPr>
          <w:p>
            <w:pPr>
              <w:pStyle w:val="null3"/>
            </w:pPr>
            <w:r>
              <w:rPr>
                <w:rFonts w:ascii="仿宋_GB2312" w:hAnsi="仿宋_GB2312" w:cs="仿宋_GB2312" w:eastAsia="仿宋_GB2312"/>
              </w:rPr>
              <w:t>供应商认为应该提交的其他资料.docx 中小企业声明函 合同条款响应表.docx 报价表 商务应答表.docx 资格证明文件.docx 响应文件封面 残疾人福利性单位声明函 服务方案 标的清单 服务内容及服务邀请应答表.docx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磋商报价</w:t>
            </w:r>
          </w:p>
        </w:tc>
        <w:tc>
          <w:tcPr>
            <w:tcW w:type="dxa" w:w="3322"/>
          </w:tcPr>
          <w:p>
            <w:pPr>
              <w:pStyle w:val="null3"/>
            </w:pPr>
            <w:r>
              <w:rPr>
                <w:rFonts w:ascii="仿宋_GB2312" w:hAnsi="仿宋_GB2312" w:cs="仿宋_GB2312" w:eastAsia="仿宋_GB2312"/>
              </w:rPr>
              <w:t xml:space="preserve"> 只能有一个有效报价，不得提交选择性报价，按要求提交最后报价，且不超过上一次报价或磋商小组认为低于成本价的报价</w:t>
            </w:r>
          </w:p>
        </w:tc>
        <w:tc>
          <w:tcPr>
            <w:tcW w:type="dxa" w:w="1661"/>
          </w:tcPr>
          <w:p>
            <w:pPr>
              <w:pStyle w:val="null3"/>
            </w:pPr>
            <w:r>
              <w:rPr>
                <w:rFonts w:ascii="仿宋_GB2312" w:hAnsi="仿宋_GB2312" w:cs="仿宋_GB2312" w:eastAsia="仿宋_GB2312"/>
              </w:rPr>
              <w:t>供应商认为应该提交的其他资料.docx 中小企业声明函 合同条款响应表.docx 报价表 商务应答表.docx 资格证明文件.docx 响应文件封面 残疾人福利性单位声明函 服务方案 标的清单 服务内容及服务邀请应答表.docx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 xml:space="preserve"> 与营业执照、资质证书或其他组织一致</w:t>
            </w:r>
          </w:p>
        </w:tc>
        <w:tc>
          <w:tcPr>
            <w:tcW w:type="dxa" w:w="1661"/>
          </w:tcPr>
          <w:p>
            <w:pPr>
              <w:pStyle w:val="null3"/>
            </w:pPr>
            <w:r>
              <w:rPr>
                <w:rFonts w:ascii="仿宋_GB2312" w:hAnsi="仿宋_GB2312" w:cs="仿宋_GB2312" w:eastAsia="仿宋_GB2312"/>
              </w:rPr>
              <w:t>供应商认为应该提交的其他资料.docx 中小企业声明函 合同条款响应表.docx 报价表 商务应答表.docx 资格证明文件.docx 响应文件封面 残疾人福利性单位声明函 服务方案 标的清单 服务内容及服务邀请应答表.docx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服务周期</w:t>
            </w:r>
          </w:p>
        </w:tc>
        <w:tc>
          <w:tcPr>
            <w:tcW w:type="dxa" w:w="3322"/>
          </w:tcPr>
          <w:p>
            <w:pPr>
              <w:pStyle w:val="null3"/>
            </w:pPr>
            <w:r>
              <w:rPr>
                <w:rFonts w:ascii="仿宋_GB2312" w:hAnsi="仿宋_GB2312" w:cs="仿宋_GB2312" w:eastAsia="仿宋_GB2312"/>
              </w:rPr>
              <w:t xml:space="preserve"> 符合磋商文件规定</w:t>
            </w:r>
          </w:p>
        </w:tc>
        <w:tc>
          <w:tcPr>
            <w:tcW w:type="dxa" w:w="1661"/>
          </w:tcPr>
          <w:p>
            <w:pPr>
              <w:pStyle w:val="null3"/>
            </w:pPr>
            <w:r>
              <w:rPr>
                <w:rFonts w:ascii="仿宋_GB2312" w:hAnsi="仿宋_GB2312" w:cs="仿宋_GB2312" w:eastAsia="仿宋_GB2312"/>
              </w:rPr>
              <w:t>供应商认为应该提交的其他资料.docx 中小企业声明函 合同条款响应表.docx 报价表 商务应答表.docx 资格证明文件.docx 响应文件封面 残疾人福利性单位声明函 服务方案 标的清单 服务内容及服务邀请应答表.docx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编制完善的配送方案，内容包含:①整体配送计划方案；②工作流程；③采购及配送方案步骤；④食材数量及种类管理；⑤食材退换货服务方案；⑥食材新鲜度保障方案；⑦兽药残留检测方案。 以上7项内容完整、不存在瑕疵，得28分；每缺一项扣4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根据供应商针对本项目编制完善的服务质量保障措施，内容包含:①食品安全的保障措施；②选材标准、加工包装质量控制方案，③食材放置存储环节。 以上3项内容完整、不存在瑕疵，得12分；每缺一项扣4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人员配备管理方案</w:t>
            </w:r>
          </w:p>
        </w:tc>
        <w:tc>
          <w:tcPr>
            <w:tcW w:type="dxa" w:w="2492"/>
          </w:tcPr>
          <w:p>
            <w:pPr>
              <w:pStyle w:val="null3"/>
            </w:pPr>
            <w:r>
              <w:rPr>
                <w:rFonts w:ascii="仿宋_GB2312" w:hAnsi="仿宋_GB2312" w:cs="仿宋_GB2312" w:eastAsia="仿宋_GB2312"/>
              </w:rPr>
              <w:t>根据供应商针对本项目编制完善的人员配备管理方案 ，内容包含:①项目组织构架；②岗位分工及责任制度；③人员管理制度； ④人员调配管理制度；⑤监督与调整制度；⑥人员配备标准方案。 以上6项内容完整、不存在瑕疵，得18分；每缺一项扣3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根据供应商针对本项目的配送车辆。 1.车辆数量达标（4分）：明确提供车辆相关证明（车辆行驶证、产权证明或租赁协议），数量≥2辆得4分；仅1辆车得1分；未提供有效证明的，得0分。 2. 车辆信息完整性（2分）：在投标文件中明确标注每辆车辆型号、载重、使用年限，信息完整、清晰可查，得2分；信息有缺失（使用年限）得1分；未提供车辆具体信息的，得0分。 注：提供车辆行驶证及产权证明或租赁协议等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突发事件处理方案</w:t>
            </w:r>
          </w:p>
        </w:tc>
        <w:tc>
          <w:tcPr>
            <w:tcW w:type="dxa" w:w="2492"/>
          </w:tcPr>
          <w:p>
            <w:pPr>
              <w:pStyle w:val="null3"/>
            </w:pPr>
            <w:r>
              <w:rPr>
                <w:rFonts w:ascii="仿宋_GB2312" w:hAnsi="仿宋_GB2312" w:cs="仿宋_GB2312" w:eastAsia="仿宋_GB2312"/>
              </w:rPr>
              <w:t>根据供应商针对本项目编制完善的突发事件处理方案 ，内容包含:①恶劣天气、突发情况应急预案；②食品安全事故应对；③物资储备预案。 以上3项内容完整、不存在瑕疵，得12分；每缺一项扣4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根据供应商针对本项目编制完善的服务承诺，内容包含:①承诺完全配合采购人的工作，确保人员的社保、健康证及相关费用准时准确按期缴纳；②对采购人的相关信息进行保密。 以上2项内容完整、不存在瑕疵，得4分；每缺一项扣2分，存在瑕疵的一项扣0.5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供应商提供2022年1月起至今的类似业绩证明材料，时间以合同签订日期为准，每提供一项上述业绩的得1分，最高得5分。不提供或缺项不得分。 注：合同需提供中标（成交）通知书或合同协议书</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价格分采用低价优先法计算，即满足磋商文件要求且磋商报价最低的磋商报价为评审基准价，其价格分为满分。其他供应商的价格分统一按照下列公式计算： 磋商报价得分=（评审基准价/磋商报价）×价格权值15%×100 注：评标委员会二分之一以上专家认为某磋商报价有低于成本价嫌疑的，且供应商无法证明其价格合理性的，为无效报价。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详见附件：合同条款响应表.docx</w:t>
      </w:r>
    </w:p>
    <w:p>
      <w:pPr>
        <w:pStyle w:val="null3"/>
        <w:ind w:firstLine="960"/>
      </w:pPr>
      <w:r>
        <w:rPr>
          <w:rFonts w:ascii="仿宋_GB2312" w:hAnsi="仿宋_GB2312" w:cs="仿宋_GB2312" w:eastAsia="仿宋_GB2312"/>
        </w:rPr>
        <w:t>详见附件：供应商认为应该提交的其他资料.docx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