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版本号：MZ2026-CS101120260409001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承办市级比赛项目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MZ2026-CS1011</w:t>
      </w:r>
      <w:r>
        <w:br/>
      </w:r>
      <w:r>
        <w:br/>
      </w:r>
      <w:r>
        <w:br/>
      </w:r>
    </w:p>
    <w:p>
      <w:pPr>
        <w:pStyle w:val="null3"/>
        <w:jc w:val="center"/>
        <w:outlineLvl w:val="2"/>
      </w:pPr>
      <w:r>
        <w:rPr>
          <w:rFonts w:ascii="仿宋_GB2312" w:hAnsi="仿宋_GB2312" w:cs="仿宋_GB2312" w:eastAsia="仿宋_GB2312"/>
          <w:sz w:val="28"/>
          <w:b/>
        </w:rPr>
        <w:t>西安市游泳运动管理中心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西安市游泳运动管理中心</w:t>
      </w:r>
      <w:r>
        <w:rPr>
          <w:rFonts w:ascii="仿宋_GB2312" w:hAnsi="仿宋_GB2312" w:cs="仿宋_GB2312" w:eastAsia="仿宋_GB2312"/>
        </w:rPr>
        <w:t>委托，拟对</w:t>
      </w:r>
      <w:r>
        <w:rPr>
          <w:rFonts w:ascii="仿宋_GB2312" w:hAnsi="仿宋_GB2312" w:cs="仿宋_GB2312" w:eastAsia="仿宋_GB2312"/>
        </w:rPr>
        <w:t>承办市级比赛项目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MZ2026-CS1011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承办市级比赛项目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为承办四次市级比赛提供全面的服务和支持，确保比赛顺利进行，供应商需提供包括但不限于场地设施布置、器材准备、物料及宣传类制作、劳务发放、用餐安排、医疗救护、媒体报道宣传制作等服务。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采购包1（承办市级比赛项目）：属于专门面向中小企业采购。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西安市游泳运动管理中心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西安市体育训练中心科研教学楼11层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采购包1：323,200.00元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不足陆仟按人民币陆仟元收取。 成交单位的代理服务费交纳信息 银行户名：陕西明正招标有限公司 开户银行：招商银行股份有限公司西安白沙路支行 账 号：129907967910101 联系人：韩乐乐 联系电话：029-87551611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西安市游泳运动管理中心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西安市游泳运动管理中心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西安市游泳运动管理中心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为承办四次市级比赛提供全面的服务和支持，确保比赛顺利进行，供应商需提供包括但不限于场地设施布置、器材准备、物料及宣传类制作、劳务发放、用餐安排、医疗救护、媒体报道宣传制作等服务。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323,200.00</w:t>
      </w:r>
    </w:p>
    <w:p>
      <w:pPr>
        <w:pStyle w:val="null3"/>
      </w:pPr>
      <w:r>
        <w:rPr>
          <w:rFonts w:ascii="仿宋_GB2312" w:hAnsi="仿宋_GB2312" w:cs="仿宋_GB2312" w:eastAsia="仿宋_GB2312"/>
        </w:rPr>
        <w:t>采购包最高限价（元）: 323,200.00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承办市级比赛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323,200.00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标的名称：承办市级比赛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项目</w:t>
                  </w: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内容</w:t>
                  </w: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要求</w:t>
                  </w: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数量</w:t>
                  </w: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单位</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赛前准备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竞赛编排系统</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符合市级体育赛事标准要求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竞赛网络设备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秩序册</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秩序册、成绩册、分秩序册的封皮 、底页及相关部分需彩页</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册</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成绩册</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册</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氛围布置</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赛事主形象</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背景板、喷绘等，（赛事各自要求）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音响设备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专业轻薄行8路调音台（支持USB插口）</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麦克风</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高保真无线麦克风</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赛事指引</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指示牌</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场地A板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环保A架（一项赛事）</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通用器材</w:t>
                  </w:r>
                </w:p>
              </w:tc>
              <w:tc>
                <w:tcPr>
                  <w:tcW w:type="dxa" w:w="426"/>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裁判桌椅</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桌子40张，椅子100把</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成绩公告展示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黑板或白板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计时秒表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符合市级体育赛事标准要求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比赛用水</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500ml（一项比赛）</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瓶</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衣服收纳箱</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发令枪、发令子弹</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符合市级体育赛事标准要求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扩音器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移动式音箱、喇叭</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器材收纳箱</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胶布</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卷</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水桶</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号码贴</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圆形直径20厘米（0-9）</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长条凳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PVC防水（150长、40宽、45高）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把</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手摇铜铃</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4寸（19CM×10CM）</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口哨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无核</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报趟牌</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游泳比赛专用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电插板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5米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对讲机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专业频段</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热水器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集体颁奖台</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竞赛专用器材</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比赛泳池</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25米×50米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泳道线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标准50米泳道线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仰泳标志杆、旗；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带旗绳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召回线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带绳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出发台</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每条泳道（建议备用2个）</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75"/>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电子显示大屏</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50米池不小于12米×6米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jc w:val="left"/>
                  </w:pPr>
                  <w:r>
                    <w:rPr>
                      <w:rFonts w:ascii="仿宋_GB2312" w:hAnsi="仿宋_GB2312" w:cs="仿宋_GB2312" w:eastAsia="仿宋_GB2312"/>
                      <w:sz w:val="21"/>
                    </w:rPr>
                    <w:t>竞赛电子专用设备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经中国游泳协会认证（中国游泳协会认证品牌设备）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竞赛显示屏</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50米池不小于12米×6米</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灯光</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不低于1500勒克斯</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防滑垫</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竞赛场地及更衣室通铺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网络设备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比赛池覆盖</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水处理设备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保证赛事水质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水温测试表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符合市级体育赛事标准要求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温度计</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符合市级体育赛事标准要求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只</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辅助器材</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夹板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裁判执裁</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托盘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颁奖用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笔记本电脑</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笔记本电脑</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3</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打印机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黑白小型激光打印机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针式激光打印机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A4打印纸</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办公器材（一次比赛）</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包</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复印机、扫描仪</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高速（办公大型）激光打印、复印机、扫描一体机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台</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墨盒</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打印机、复印机用、包括打印机和复印机所用，按机器数量各备。</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ind w:left="375" w:right="210"/>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笔</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按竞赛要求配备（一次比赛）</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支</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记号笔</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油性黑色</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档案袋</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80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剪刀、裁纸刀</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35"/>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把</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双面胶带、曲别针</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满足赛事现场使用</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盒</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荣誉证书</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按比赛要求</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20"/>
                  </w:pPr>
                  <w:r>
                    <w:rPr>
                      <w:rFonts w:ascii="仿宋_GB2312" w:hAnsi="仿宋_GB2312" w:cs="仿宋_GB2312" w:eastAsia="仿宋_GB2312"/>
                      <w:sz w:val="21"/>
                    </w:rPr>
                    <w:t>奖牌</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团体前八名、道德风尚奖</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块</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参赛证</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运动员、领队、教练员、裁判员及工作人员，以具体实际数量为准（一次比赛）</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个</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观赛券</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根据观赛人数印制</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车辆通行证</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含所有涉赛人员车辆通行证等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人员配置</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裁判组</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技术代表、仲裁、执行总裁 (国家级及以上，根据竞赛日程天数+报到赛前培训联调 1天进行核算)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编排记录长(国家级及以上，根据竞赛日程天数+报到赛前培训联调 1天+编排3天进行核算)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转身记录长、检录长、计时长、技术检查、发令等(一级及以上，根据竞赛日程天数+报到赛前培训联调 1天进行核算 )</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 xml:space="preserve">裁判员(二级及以上，根据竞赛日程天数+报到赛前培训联调 1天进行核算） </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工作人员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根据根据竞赛日程天数+报到赛前培训联调 1天进行核算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救护人员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1司机1医生1护士1辆救护车</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安保人员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按实际天数+布置场地1天结算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保洁人员</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按实际天数结算</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医疗救护车</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救护车须配备司机（配备AED，急救包，急救药品）</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辆</w:t>
                  </w:r>
                </w:p>
              </w:tc>
            </w:tr>
            <w:tr>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保险</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涉赛人员保险</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所有涉赛人员（运动员、裁判、工作人员）均须购买保险，以实际情况为准</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用餐</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裁判组</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涉赛人员午餐2荤、两素，含主食，1汤，按实际竞赛日程+联调1天</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其他工作人员</w:t>
                  </w: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摄影摄像</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赛事专业拍照及摄影</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每次比赛摄影摄像</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视频剪辑</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赛事专业拍照及摄影</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人</w:t>
                  </w:r>
                </w:p>
              </w:tc>
            </w:tr>
            <w:tr>
              <w:tc>
                <w:tcPr>
                  <w:tcW w:type="dxa" w:w="42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会议室、功能房、运动员热身区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技术会</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含多媒体及会场服务，容纳200人会议室，含多媒体，需提前布置好会场，桌签，桌标等；使用时间半天</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场</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功能房</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按照采购人要求布置，竞赛秘书室、 器材存放室裁判员休息室、工作人员 休息室等、按照采购人要求布置； 使用时限为赛事筹备起至赛事结束。</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间</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运动员热身区</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含场地布置</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片</w:t>
                  </w:r>
                </w:p>
              </w:tc>
            </w:tr>
            <w:tr>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赛事报告</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赛后要有关于本场赛事报告</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赛事方案</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一赛六案</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项</w:t>
                  </w:r>
                </w:p>
              </w:tc>
            </w:tr>
            <w:tr>
              <w:tc>
                <w:tcPr>
                  <w:tcW w:type="dxa" w:w="42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服装</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裁判服装</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rPr>
                    <w:t>按实际以具体实际数量为准，（短T，长裤）</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60</w:t>
                  </w:r>
                </w:p>
              </w:tc>
              <w:tc>
                <w:tcPr>
                  <w:tcW w:type="dxa" w:w="4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r>
            <w:tr>
              <w:tc>
                <w:tcPr>
                  <w:tcW w:type="dxa" w:w="2556"/>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50"/>
                    <w:ind w:left="90"/>
                  </w:pPr>
                  <w:r>
                    <w:rPr>
                      <w:rFonts w:ascii="仿宋_GB2312" w:hAnsi="仿宋_GB2312" w:cs="仿宋_GB2312" w:eastAsia="仿宋_GB2312"/>
                      <w:sz w:val="21"/>
                    </w:rPr>
                    <w:t>所有制作、宣传需经采购人审核同意后方可发布，赛事所有原始资料报采购人留存。</w:t>
                  </w:r>
                </w:p>
              </w:tc>
            </w:tr>
            <w:tr>
              <w:tc>
                <w:tcPr>
                  <w:tcW w:type="dxa" w:w="2556"/>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35"/>
                    <w:ind w:left="90"/>
                  </w:pPr>
                  <w:r>
                    <w:rPr>
                      <w:rFonts w:ascii="仿宋_GB2312" w:hAnsi="仿宋_GB2312" w:cs="仿宋_GB2312" w:eastAsia="仿宋_GB2312"/>
                      <w:sz w:val="21"/>
                    </w:rPr>
                    <w:t>竞赛组织、报名资审由采购人负责，裁判员、工作人员由采购人指派。</w:t>
                  </w:r>
                </w:p>
              </w:tc>
            </w:tr>
            <w:tr>
              <w:tc>
                <w:tcPr>
                  <w:tcW w:type="dxa" w:w="2556"/>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90"/>
                    <w:ind w:left="90"/>
                  </w:pPr>
                  <w:r>
                    <w:rPr>
                      <w:rFonts w:ascii="仿宋_GB2312" w:hAnsi="仿宋_GB2312" w:cs="仿宋_GB2312" w:eastAsia="仿宋_GB2312"/>
                      <w:sz w:val="21"/>
                    </w:rPr>
                    <w:t>供应商除竞赛组织、报名资审，裁判员、工作人员指派事宜以外事项，均需做好相应服务保障， 场地设施布置、器材准备、电计设备、物料及宣传类制作、劳务发放、食宿安排、会议组织(含会场布置、 参赛相关物资分类发放)、安全报备、市场运营、医疗救护、媒体报道宣传制作等。</w:t>
                  </w:r>
                </w:p>
              </w:tc>
            </w:tr>
            <w:tr>
              <w:tc>
                <w:tcPr>
                  <w:tcW w:type="dxa" w:w="2556"/>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90"/>
                    <w:ind w:left="90"/>
                  </w:pPr>
                  <w:r>
                    <w:rPr>
                      <w:rFonts w:ascii="仿宋_GB2312" w:hAnsi="仿宋_GB2312" w:cs="仿宋_GB2312" w:eastAsia="仿宋_GB2312"/>
                      <w:sz w:val="21"/>
                      <w:b/>
                    </w:rPr>
                    <w:t>本项目分为四次赛事；上述清单中所列数量为一次</w:t>
                  </w:r>
                  <w:r>
                    <w:rPr>
                      <w:rFonts w:ascii="仿宋_GB2312" w:hAnsi="仿宋_GB2312" w:cs="仿宋_GB2312" w:eastAsia="仿宋_GB2312"/>
                      <w:sz w:val="21"/>
                      <w:b/>
                    </w:rPr>
                    <w:t>赛事数量；</w:t>
                  </w:r>
                </w:p>
                <w:p>
                  <w:pPr>
                    <w:pStyle w:val="null3"/>
                    <w:spacing w:before="165"/>
                    <w:ind w:left="90"/>
                  </w:pPr>
                  <w:r>
                    <w:rPr>
                      <w:rFonts w:ascii="仿宋_GB2312" w:hAnsi="仿宋_GB2312" w:cs="仿宋_GB2312" w:eastAsia="仿宋_GB2312"/>
                      <w:sz w:val="21"/>
                      <w:b/>
                    </w:rPr>
                    <w:t>市级比赛</w:t>
                  </w:r>
                  <w:r>
                    <w:rPr>
                      <w:rFonts w:ascii="仿宋_GB2312" w:hAnsi="仿宋_GB2312" w:cs="仿宋_GB2312" w:eastAsia="仿宋_GB2312"/>
                      <w:sz w:val="21"/>
                      <w:b/>
                    </w:rPr>
                    <w:t>1</w:t>
                  </w:r>
                  <w:r>
                    <w:rPr>
                      <w:rFonts w:ascii="仿宋_GB2312" w:hAnsi="仿宋_GB2312" w:cs="仿宋_GB2312" w:eastAsia="仿宋_GB2312"/>
                      <w:sz w:val="21"/>
                      <w:b/>
                    </w:rPr>
                    <w:t>,竞赛日为</w:t>
                  </w:r>
                  <w:r>
                    <w:rPr>
                      <w:rFonts w:ascii="仿宋_GB2312" w:hAnsi="仿宋_GB2312" w:cs="仿宋_GB2312" w:eastAsia="仿宋_GB2312"/>
                      <w:sz w:val="21"/>
                      <w:b/>
                    </w:rPr>
                    <w:t>二</w:t>
                  </w:r>
                  <w:r>
                    <w:rPr>
                      <w:rFonts w:ascii="仿宋_GB2312" w:hAnsi="仿宋_GB2312" w:cs="仿宋_GB2312" w:eastAsia="仿宋_GB2312"/>
                      <w:sz w:val="21"/>
                      <w:b/>
                    </w:rPr>
                    <w:t>天，约</w:t>
                  </w:r>
                  <w:r>
                    <w:rPr>
                      <w:rFonts w:ascii="仿宋_GB2312" w:hAnsi="仿宋_GB2312" w:cs="仿宋_GB2312" w:eastAsia="仿宋_GB2312"/>
                      <w:sz w:val="21"/>
                      <w:b/>
                    </w:rPr>
                    <w:t>8</w:t>
                  </w:r>
                  <w:r>
                    <w:rPr>
                      <w:rFonts w:ascii="仿宋_GB2312" w:hAnsi="仿宋_GB2312" w:cs="仿宋_GB2312" w:eastAsia="仿宋_GB2312"/>
                      <w:sz w:val="21"/>
                      <w:b/>
                    </w:rPr>
                    <w:t>00名运动员；市级比赛2</w:t>
                  </w:r>
                  <w:r>
                    <w:rPr>
                      <w:rFonts w:ascii="仿宋_GB2312" w:hAnsi="仿宋_GB2312" w:cs="仿宋_GB2312" w:eastAsia="仿宋_GB2312"/>
                      <w:sz w:val="21"/>
                      <w:b/>
                    </w:rPr>
                    <w:t>、</w:t>
                  </w:r>
                  <w:r>
                    <w:rPr>
                      <w:rFonts w:ascii="仿宋_GB2312" w:hAnsi="仿宋_GB2312" w:cs="仿宋_GB2312" w:eastAsia="仿宋_GB2312"/>
                      <w:sz w:val="21"/>
                      <w:b/>
                    </w:rPr>
                    <w:t>3、4</w:t>
                  </w:r>
                  <w:r>
                    <w:rPr>
                      <w:rFonts w:ascii="仿宋_GB2312" w:hAnsi="仿宋_GB2312" w:cs="仿宋_GB2312" w:eastAsia="仿宋_GB2312"/>
                      <w:sz w:val="21"/>
                      <w:b/>
                    </w:rPr>
                    <w:t>,竞赛日</w:t>
                  </w:r>
                  <w:r>
                    <w:rPr>
                      <w:rFonts w:ascii="仿宋_GB2312" w:hAnsi="仿宋_GB2312" w:cs="仿宋_GB2312" w:eastAsia="仿宋_GB2312"/>
                      <w:sz w:val="21"/>
                      <w:b/>
                    </w:rPr>
                    <w:t>二</w:t>
                  </w:r>
                  <w:r>
                    <w:rPr>
                      <w:rFonts w:ascii="仿宋_GB2312" w:hAnsi="仿宋_GB2312" w:cs="仿宋_GB2312" w:eastAsia="仿宋_GB2312"/>
                      <w:sz w:val="21"/>
                      <w:b/>
                    </w:rPr>
                    <w:t>天，约</w:t>
                  </w:r>
                  <w:r>
                    <w:rPr>
                      <w:rFonts w:ascii="仿宋_GB2312" w:hAnsi="仿宋_GB2312" w:cs="仿宋_GB2312" w:eastAsia="仿宋_GB2312"/>
                      <w:sz w:val="21"/>
                      <w:b/>
                    </w:rPr>
                    <w:t>10</w:t>
                  </w:r>
                  <w:r>
                    <w:rPr>
                      <w:rFonts w:ascii="仿宋_GB2312" w:hAnsi="仿宋_GB2312" w:cs="仿宋_GB2312" w:eastAsia="仿宋_GB2312"/>
                      <w:sz w:val="21"/>
                      <w:b/>
                    </w:rPr>
                    <w:t>00名运动员</w:t>
                  </w:r>
                  <w:r>
                    <w:rPr>
                      <w:rFonts w:ascii="仿宋_GB2312" w:hAnsi="仿宋_GB2312" w:cs="仿宋_GB2312" w:eastAsia="仿宋_GB2312"/>
                      <w:sz w:val="21"/>
                      <w:b/>
                    </w:rPr>
                    <w:t>人数根据市级比赛规程要求最终确定。</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供应商针对本项目提供相应的设备。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是项目验收合格后的最终报价。包含完成本项目所涉及人员劳务、设计、制作、策划执行、广告氛围设计、媒体宣传、运输、安装、验收、税金、设备投入、利润、招标代理服务费以及磋商文件规定的一切费用和本项目履约相关的不可预计的一切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按照赛事赛程安排，赛事举办前2天完成赛场布置，直至四次比赛结束为止。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1.由采购人自行组织相关人员成立验收小组对项目进行验收，依据竞争性磋商文件、竞争性磋商响应文件及政府采购合同，结合考核情况和服务效果进行验收，形成验收报告。 2.其他未尽事宜应严格按照《财政部关于进一步加强政府采购需求和履约验收管理的指导意见》(财库(2016) 205号)的要求进行。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第一次比赛结束，验收完成后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第四次比赛结束，验收完成后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2.未按合同或磋商文件要求提供服务或服务质量不能满足采购人技术要求，采购人有权终止合同，甚至对供应商违约行为进行追究。 3.供应商的响应文件为签订正式书面合同书不可分割的部分，供应商应履行相应的责任。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成交供应商在领取成交通知书时提供一正一副纸质投标文件和电子版投标文件1份（U盘存储）用于备案,提交至西安市雁塔区二环南路西段88号老三届世纪星大厦30层AB座（陕西明正招标有限公司）。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提供经审计的2024年度或2025年度财务报告或磋商前六个月内其本公司银行账户出具的资信证明或政府采购专业担保机构出具的磋商担保函（事业单位可不提供）（加盖公章）。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特殊资格要求.docx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（1）磋商报价符合唯一性要求；（2）报价未超出采购预算和最高限价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（1）完全满足商务条款 （2）响应内容不存在漏项或数量与要求不符的情形，实质性条款全部响应，不能有采购人不能接受的附加条件。</w:t>
            </w:r>
          </w:p>
        </w:tc>
        <w:tc>
          <w:tcPr>
            <w:tcW w:type="dxa" w:w="1661"/>
          </w:tcPr>
          <w:p>
            <w:pPr>
              <w:pStyle w:val="null3"/>
            </w:pPr>
            <w:r>
              <w:rPr>
                <w:rFonts w:ascii="仿宋_GB2312" w:hAnsi="仿宋_GB2312" w:cs="仿宋_GB2312" w:eastAsia="仿宋_GB2312"/>
              </w:rPr>
              <w:t>分项报价表.docx 商务要求响应偏离表.docx 服务内容及要求响应偏离表.docx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磋商响应方案.docx 中小企业声明函 一般资格要求.docx 报价表 响应文件封面 分项报价表.docx 特殊资格要求.docx 残疾人福利性单位声明函 业绩证明材料.docx 标的清单 商务要求响应偏离表.docx 服务内容及要求响应偏离表.docx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以下内容：①赛事总体安排方案；②后勤保障措施；③赛场布置方案；④媒体宣传方案；⑤器材和设施配置（比赛设备、裁判用品）；⑥项目进度安排及保障措施；方案应包含且不限于理论计算、文字描述等内容，未提供的本项不得分。 方案各部分内容全面详细、阐述条理清晰详尽、符合本项目采购需求，能有效保障本项目实施的计36分。每有一项内容缺失扣6分，每有一项内容每存在以下1种缺陷扣1分，扣完为止。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裁判团队配置</w:t>
            </w:r>
          </w:p>
        </w:tc>
        <w:tc>
          <w:tcPr>
            <w:tcW w:type="dxa" w:w="2492"/>
          </w:tcPr>
          <w:p>
            <w:pPr>
              <w:pStyle w:val="null3"/>
            </w:pPr>
            <w:r>
              <w:rPr>
                <w:rFonts w:ascii="仿宋_GB2312" w:hAnsi="仿宋_GB2312" w:cs="仿宋_GB2312" w:eastAsia="仿宋_GB2312"/>
              </w:rPr>
              <w:t>对本项目裁判团队配置情况进行赋分：供应商提供拟定裁判团队配置（包括技术代表、仲裁、执行总裁、编排记录长、转身记录长、检录长、计时长、技术检查、发令、裁判员等岗位设置）明细，并提供人员岗位证书。 ①团队架构完善，人员安排合理，人员岗位证书齐全，完全满足项目要求计14分； ②团队人员配置明确、合理，人员岗位证书基本齐全计10分； ③团队人员配置基本合理，未提供人员岗位证书计7分；④团队人员配备严重欠缺，未提供人员岗位证书，无法满足项目需求得3分。未提供不得分。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的应急保障方案，包含以下内容：①人员、水域安全保障；②设备故障应急措施；③医疗救援保障措施；④赛事安保应急措施；方案应包含且不限于理论计算、文字描述等内容，未提供的本项不得分。 方案各部分内容全面详细、阐述条理清晰详尽、符合本项目采购需求，能有效保障本项目实施的计20分。每有一项内容缺失扣5分，每有一项内容每存在以下1种缺陷扣1分，扣完为止。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承诺和合理化建议</w:t>
            </w:r>
          </w:p>
        </w:tc>
        <w:tc>
          <w:tcPr>
            <w:tcW w:type="dxa" w:w="2492"/>
          </w:tcPr>
          <w:p>
            <w:pPr>
              <w:pStyle w:val="null3"/>
            </w:pPr>
            <w:r>
              <w:rPr>
                <w:rFonts w:ascii="仿宋_GB2312" w:hAnsi="仿宋_GB2312" w:cs="仿宋_GB2312" w:eastAsia="仿宋_GB2312"/>
              </w:rPr>
              <w:t>供应商针对本项目提出有利于本项目实施的承诺和合理化建议。①承诺内容清晰、承诺指标明确，合理化建议有利于本项目实施，计5分； ②承诺内容相对合理，合理化建议基本满足项目需求，计3分。③承诺内容不明确，合理化建议可行性较差计1分。未提供不计分。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提供自2023年1月1日至今体育赛事类承办业绩，磋商响应文件中附合同复印件加盖公章，每提供一个计2分，满分10分。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详见附件：服务内容及要求响应偏离表.docx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