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版本号：SXZCZB2026-ZCCS-043520260515003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第十届丝博会陕菜美食文化交流活动西安特色美食展</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SXZCZB2026-ZCCS-0435</w:t>
      </w:r>
      <w:r>
        <w:br/>
      </w:r>
      <w:r>
        <w:br/>
      </w:r>
      <w:r>
        <w:br/>
      </w:r>
    </w:p>
    <w:p>
      <w:pPr>
        <w:pStyle w:val="null3"/>
        <w:jc w:val="center"/>
        <w:outlineLvl w:val="2"/>
      </w:pPr>
      <w:r>
        <w:rPr>
          <w:rFonts w:ascii="仿宋_GB2312" w:hAnsi="仿宋_GB2312" w:cs="仿宋_GB2312" w:eastAsia="仿宋_GB2312"/>
          <w:sz w:val="28"/>
          <w:b/>
        </w:rPr>
        <w:t>西安市商务局（本级）</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西安市商务局（本级）</w:t>
      </w:r>
      <w:r>
        <w:rPr>
          <w:rFonts w:ascii="仿宋_GB2312" w:hAnsi="仿宋_GB2312" w:cs="仿宋_GB2312" w:eastAsia="仿宋_GB2312"/>
        </w:rPr>
        <w:t>委托，拟对</w:t>
      </w:r>
      <w:r>
        <w:rPr>
          <w:rFonts w:ascii="仿宋_GB2312" w:hAnsi="仿宋_GB2312" w:cs="仿宋_GB2312" w:eastAsia="仿宋_GB2312"/>
        </w:rPr>
        <w:t>第十届丝博会陕菜美食文化交流活动西安特色美食展</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SXZCZB2026-ZCCS-0435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第十届丝博会陕菜美食文化交流活动西安特色美食展</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第十届丝博会陕菜美食文化交流活动西安特色美食展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采购包1（第十届丝博会陕菜美食文化交流活动西安特色美食展）：属于专门面向中小企业采购。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报告：提供递交磋商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4、税收缴纳证明：提供磋商截止日前近一年内任意一个月的纳税证明或完税证明（任意税种），依法免税的单位应提供相关证明材料；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5、社会保障资金缴纳证明：提供磋商截止日前近一年内任意一个月的社会保障资金缴存单据或社保机构开具的社会保险参保缴费情况证明，依法不需要缴纳社会保障资金的单位应提供相关证明材料；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10、非联合体磋商：本项目不接受联合体磋商（需提供承诺书）；</w:t>
      </w:r>
    </w:p>
    <w:p>
      <w:pPr>
        <w:pStyle w:val="null3"/>
      </w:pPr>
      <w:r>
        <w:rPr>
          <w:rFonts w:ascii="仿宋_GB2312" w:hAnsi="仿宋_GB2312" w:cs="仿宋_GB2312" w:eastAsia="仿宋_GB2312"/>
        </w:rPr>
        <w:t>11、中小企业声明函：本合同包为专门面向中小企业采购（提供中小企业声明函或监狱企业的证明文件或残疾人福利性单位声明函）。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西安市商务局（本级）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发的《招标代理服务收费管理暂行办法》（计价格[2002]1980号）及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西安市商务局（本级）</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西安市商务局（本级）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西安市商务局（本级）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十届丝博会陕菜美食文化交流活动西安特色美食展将于5月21日－25日在西安会展中心举办，西安特色美食展为本届美食文化节中部分内容，面积540㎡（长15米*宽36米），需对展区进行设计搭建并精心组织筛选一定数量老字号、知名美食、特色名吃等餐饮企业参与展销，并开展配套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第十届丝博会陕菜美食文化交流活动西安特色美食展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标的名称：第十届丝博会陕菜美食文化交流活动西安特色美食展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一、项目概况</w:t>
            </w:r>
          </w:p>
          <w:p>
            <w:pPr>
              <w:pStyle w:val="null3"/>
            </w:pPr>
            <w:r>
              <w:rPr>
                <w:rFonts w:ascii="仿宋_GB2312" w:hAnsi="仿宋_GB2312" w:cs="仿宋_GB2312" w:eastAsia="仿宋_GB2312"/>
                <w:sz w:val="20"/>
              </w:rPr>
              <w:t>第十届丝博会陕菜美食文化交流活动西安特色美食展将于</w:t>
            </w:r>
            <w:r>
              <w:rPr>
                <w:rFonts w:ascii="仿宋_GB2312" w:hAnsi="仿宋_GB2312" w:cs="仿宋_GB2312" w:eastAsia="仿宋_GB2312"/>
                <w:sz w:val="20"/>
              </w:rPr>
              <w:t>5</w:t>
            </w:r>
            <w:r>
              <w:rPr>
                <w:rFonts w:ascii="仿宋_GB2312" w:hAnsi="仿宋_GB2312" w:cs="仿宋_GB2312" w:eastAsia="仿宋_GB2312"/>
                <w:sz w:val="20"/>
              </w:rPr>
              <w:t>月</w:t>
            </w:r>
            <w:r>
              <w:rPr>
                <w:rFonts w:ascii="仿宋_GB2312" w:hAnsi="仿宋_GB2312" w:cs="仿宋_GB2312" w:eastAsia="仿宋_GB2312"/>
                <w:sz w:val="20"/>
              </w:rPr>
              <w:t>21</w:t>
            </w:r>
            <w:r>
              <w:rPr>
                <w:rFonts w:ascii="仿宋_GB2312" w:hAnsi="仿宋_GB2312" w:cs="仿宋_GB2312" w:eastAsia="仿宋_GB2312"/>
                <w:sz w:val="20"/>
              </w:rPr>
              <w:t>日－</w:t>
            </w:r>
            <w:r>
              <w:rPr>
                <w:rFonts w:ascii="仿宋_GB2312" w:hAnsi="仿宋_GB2312" w:cs="仿宋_GB2312" w:eastAsia="仿宋_GB2312"/>
                <w:sz w:val="20"/>
              </w:rPr>
              <w:t>25</w:t>
            </w:r>
            <w:r>
              <w:rPr>
                <w:rFonts w:ascii="仿宋_GB2312" w:hAnsi="仿宋_GB2312" w:cs="仿宋_GB2312" w:eastAsia="仿宋_GB2312"/>
                <w:sz w:val="20"/>
              </w:rPr>
              <w:t>日在西安会展中心举办，西安特色美食展销为本届美食文化节中部分内容，面积</w:t>
            </w:r>
            <w:r>
              <w:rPr>
                <w:rFonts w:ascii="仿宋_GB2312" w:hAnsi="仿宋_GB2312" w:cs="仿宋_GB2312" w:eastAsia="仿宋_GB2312"/>
                <w:sz w:val="20"/>
              </w:rPr>
              <w:t>540</w:t>
            </w:r>
            <w:r>
              <w:rPr>
                <w:rFonts w:ascii="仿宋_GB2312" w:hAnsi="仿宋_GB2312" w:cs="仿宋_GB2312" w:eastAsia="仿宋_GB2312"/>
                <w:sz w:val="20"/>
              </w:rPr>
              <w:t>㎡（长</w:t>
            </w:r>
            <w:r>
              <w:rPr>
                <w:rFonts w:ascii="仿宋_GB2312" w:hAnsi="仿宋_GB2312" w:cs="仿宋_GB2312" w:eastAsia="仿宋_GB2312"/>
                <w:sz w:val="20"/>
              </w:rPr>
              <w:t>15</w:t>
            </w:r>
            <w:r>
              <w:rPr>
                <w:rFonts w:ascii="仿宋_GB2312" w:hAnsi="仿宋_GB2312" w:cs="仿宋_GB2312" w:eastAsia="仿宋_GB2312"/>
                <w:sz w:val="20"/>
              </w:rPr>
              <w:t>米</w:t>
            </w:r>
            <w:r>
              <w:rPr>
                <w:rFonts w:ascii="仿宋_GB2312" w:hAnsi="仿宋_GB2312" w:cs="仿宋_GB2312" w:eastAsia="仿宋_GB2312"/>
                <w:sz w:val="20"/>
              </w:rPr>
              <w:t>*</w:t>
            </w:r>
            <w:r>
              <w:rPr>
                <w:rFonts w:ascii="仿宋_GB2312" w:hAnsi="仿宋_GB2312" w:cs="仿宋_GB2312" w:eastAsia="仿宋_GB2312"/>
                <w:sz w:val="20"/>
              </w:rPr>
              <w:t>宽</w:t>
            </w:r>
            <w:r>
              <w:rPr>
                <w:rFonts w:ascii="仿宋_GB2312" w:hAnsi="仿宋_GB2312" w:cs="仿宋_GB2312" w:eastAsia="仿宋_GB2312"/>
                <w:sz w:val="20"/>
              </w:rPr>
              <w:t>36</w:t>
            </w:r>
            <w:r>
              <w:rPr>
                <w:rFonts w:ascii="仿宋_GB2312" w:hAnsi="仿宋_GB2312" w:cs="仿宋_GB2312" w:eastAsia="仿宋_GB2312"/>
                <w:sz w:val="20"/>
              </w:rPr>
              <w:t>米），需对展区进行设计搭建并精心组织筛选一定数量老字号、知名美食、特色名吃等餐饮企业参与展销，并开展配套服务。</w:t>
            </w:r>
          </w:p>
          <w:p>
            <w:pPr>
              <w:pStyle w:val="null3"/>
            </w:pPr>
            <w:r>
              <w:rPr>
                <w:rFonts w:ascii="仿宋_GB2312" w:hAnsi="仿宋_GB2312" w:cs="仿宋_GB2312" w:eastAsia="仿宋_GB2312"/>
                <w:sz w:val="20"/>
              </w:rPr>
              <w:t>二、服务内容</w:t>
            </w:r>
          </w:p>
          <w:p>
            <w:pPr>
              <w:pStyle w:val="null3"/>
            </w:pPr>
            <w:r>
              <w:rPr>
                <w:rFonts w:ascii="仿宋_GB2312" w:hAnsi="仿宋_GB2312" w:cs="仿宋_GB2312" w:eastAsia="仿宋_GB2312"/>
                <w:sz w:val="20"/>
              </w:rPr>
              <w:t>1</w:t>
            </w:r>
            <w:r>
              <w:rPr>
                <w:rFonts w:ascii="仿宋_GB2312" w:hAnsi="仿宋_GB2312" w:cs="仿宋_GB2312" w:eastAsia="仿宋_GB2312"/>
                <w:sz w:val="20"/>
              </w:rPr>
              <w:t>、根据西安特色美食展销会场情况进行场馆策划、设计、搭建；</w:t>
            </w:r>
          </w:p>
          <w:p>
            <w:pPr>
              <w:pStyle w:val="null3"/>
            </w:pPr>
            <w:r>
              <w:rPr>
                <w:rFonts w:ascii="仿宋_GB2312" w:hAnsi="仿宋_GB2312" w:cs="仿宋_GB2312" w:eastAsia="仿宋_GB2312"/>
                <w:sz w:val="20"/>
              </w:rPr>
              <w:t>2</w:t>
            </w:r>
            <w:r>
              <w:rPr>
                <w:rFonts w:ascii="仿宋_GB2312" w:hAnsi="仿宋_GB2312" w:cs="仿宋_GB2312" w:eastAsia="仿宋_GB2312"/>
                <w:sz w:val="20"/>
              </w:rPr>
              <w:t>、根据大会时间安排，合理开展现场活动及氛围营造；</w:t>
            </w:r>
          </w:p>
          <w:p>
            <w:pPr>
              <w:pStyle w:val="null3"/>
            </w:pPr>
            <w:r>
              <w:rPr>
                <w:rFonts w:ascii="仿宋_GB2312" w:hAnsi="仿宋_GB2312" w:cs="仿宋_GB2312" w:eastAsia="仿宋_GB2312"/>
                <w:sz w:val="20"/>
              </w:rPr>
              <w:t>3</w:t>
            </w:r>
            <w:r>
              <w:rPr>
                <w:rFonts w:ascii="仿宋_GB2312" w:hAnsi="仿宋_GB2312" w:cs="仿宋_GB2312" w:eastAsia="仿宋_GB2312"/>
                <w:sz w:val="20"/>
              </w:rPr>
              <w:t>、精心组织一定数量（不低于</w:t>
            </w:r>
            <w:r>
              <w:rPr>
                <w:rFonts w:ascii="仿宋_GB2312" w:hAnsi="仿宋_GB2312" w:cs="仿宋_GB2312" w:eastAsia="仿宋_GB2312"/>
                <w:sz w:val="20"/>
              </w:rPr>
              <w:t>20</w:t>
            </w:r>
            <w:r>
              <w:rPr>
                <w:rFonts w:ascii="仿宋_GB2312" w:hAnsi="仿宋_GB2312" w:cs="仿宋_GB2312" w:eastAsia="仿宋_GB2312"/>
                <w:sz w:val="20"/>
              </w:rPr>
              <w:t>家）的老字号、知名美食、特色名吃等餐饮企业参加；</w:t>
            </w:r>
          </w:p>
          <w:p>
            <w:pPr>
              <w:pStyle w:val="null3"/>
            </w:pPr>
            <w:r>
              <w:rPr>
                <w:rFonts w:ascii="仿宋_GB2312" w:hAnsi="仿宋_GB2312" w:cs="仿宋_GB2312" w:eastAsia="仿宋_GB2312"/>
                <w:sz w:val="20"/>
              </w:rPr>
              <w:t>4</w:t>
            </w:r>
            <w:r>
              <w:rPr>
                <w:rFonts w:ascii="仿宋_GB2312" w:hAnsi="仿宋_GB2312" w:cs="仿宋_GB2312" w:eastAsia="仿宋_GB2312"/>
                <w:sz w:val="20"/>
              </w:rPr>
              <w:t>、根据活动，制作相关宣传内容。需充分考虑宣传内容的文化感、设计感，内容需符合西安美食宣传主题。</w:t>
            </w:r>
          </w:p>
          <w:p>
            <w:pPr>
              <w:pStyle w:val="null3"/>
            </w:pPr>
            <w:r>
              <w:rPr>
                <w:rFonts w:ascii="仿宋_GB2312" w:hAnsi="仿宋_GB2312" w:cs="仿宋_GB2312" w:eastAsia="仿宋_GB2312"/>
                <w:sz w:val="20"/>
              </w:rPr>
              <w:t>三、技术要求</w:t>
            </w:r>
          </w:p>
          <w:p>
            <w:pPr>
              <w:pStyle w:val="null3"/>
            </w:pPr>
            <w:r>
              <w:rPr>
                <w:rFonts w:ascii="仿宋_GB2312" w:hAnsi="仿宋_GB2312" w:cs="仿宋_GB2312" w:eastAsia="仿宋_GB2312"/>
                <w:sz w:val="20"/>
              </w:rPr>
              <w:t>具有优质的专业团队、良好的展商动员能力，具备类似活动策划、组织、服务及宣传能力，提供营业执照。</w:t>
            </w:r>
          </w:p>
          <w:p>
            <w:pPr>
              <w:pStyle w:val="null3"/>
            </w:pPr>
            <w:r>
              <w:rPr>
                <w:rFonts w:ascii="仿宋_GB2312" w:hAnsi="仿宋_GB2312" w:cs="仿宋_GB2312" w:eastAsia="仿宋_GB2312"/>
                <w:sz w:val="20"/>
              </w:rPr>
              <w:t>四、服务要求</w:t>
            </w:r>
          </w:p>
          <w:p>
            <w:pPr>
              <w:pStyle w:val="null3"/>
            </w:pPr>
            <w:r>
              <w:rPr>
                <w:rFonts w:ascii="仿宋_GB2312" w:hAnsi="仿宋_GB2312" w:cs="仿宋_GB2312" w:eastAsia="仿宋_GB2312"/>
                <w:sz w:val="20"/>
              </w:rPr>
              <w:t>在合同执行过程中需要服务商应执行的相关服务标准和应当履行的相关义务。</w:t>
            </w:r>
          </w:p>
          <w:p>
            <w:pPr>
              <w:pStyle w:val="null3"/>
            </w:pPr>
            <w:r>
              <w:rPr>
                <w:rFonts w:ascii="仿宋_GB2312" w:hAnsi="仿宋_GB2312" w:cs="仿宋_GB2312" w:eastAsia="仿宋_GB2312"/>
                <w:sz w:val="20"/>
              </w:rPr>
              <w:t>1</w:t>
            </w:r>
            <w:r>
              <w:rPr>
                <w:rFonts w:ascii="仿宋_GB2312" w:hAnsi="仿宋_GB2312" w:cs="仿宋_GB2312" w:eastAsia="仿宋_GB2312"/>
                <w:sz w:val="20"/>
              </w:rPr>
              <w:t>、提供具有会展规划设计人员、搭建人员、会场服务人员、策划宣传人员等；</w:t>
            </w:r>
          </w:p>
          <w:p>
            <w:pPr>
              <w:pStyle w:val="null3"/>
            </w:pPr>
            <w:r>
              <w:rPr>
                <w:rFonts w:ascii="仿宋_GB2312" w:hAnsi="仿宋_GB2312" w:cs="仿宋_GB2312" w:eastAsia="仿宋_GB2312"/>
                <w:sz w:val="20"/>
              </w:rPr>
              <w:t>2</w:t>
            </w:r>
            <w:r>
              <w:rPr>
                <w:rFonts w:ascii="仿宋_GB2312" w:hAnsi="仿宋_GB2312" w:cs="仿宋_GB2312" w:eastAsia="仿宋_GB2312"/>
                <w:sz w:val="20"/>
              </w:rPr>
              <w:t>、有固定的办公场所和必要的设施条件；</w:t>
            </w:r>
          </w:p>
          <w:p>
            <w:pPr>
              <w:pStyle w:val="null3"/>
            </w:pPr>
            <w:r>
              <w:rPr>
                <w:rFonts w:ascii="仿宋_GB2312" w:hAnsi="仿宋_GB2312" w:cs="仿宋_GB2312" w:eastAsia="仿宋_GB2312"/>
                <w:sz w:val="20"/>
              </w:rPr>
              <w:t>3</w:t>
            </w:r>
            <w:r>
              <w:rPr>
                <w:rFonts w:ascii="仿宋_GB2312" w:hAnsi="仿宋_GB2312" w:cs="仿宋_GB2312" w:eastAsia="仿宋_GB2312"/>
                <w:sz w:val="20"/>
              </w:rPr>
              <w:t>、材料真实性承诺书；</w:t>
            </w:r>
          </w:p>
          <w:p>
            <w:pPr>
              <w:pStyle w:val="null3"/>
            </w:pPr>
            <w:r>
              <w:rPr>
                <w:rFonts w:ascii="仿宋_GB2312" w:hAnsi="仿宋_GB2312" w:cs="仿宋_GB2312" w:eastAsia="仿宋_GB2312"/>
                <w:sz w:val="20"/>
              </w:rPr>
              <w:t>4</w:t>
            </w:r>
            <w:r>
              <w:rPr>
                <w:rFonts w:ascii="仿宋_GB2312" w:hAnsi="仿宋_GB2312" w:cs="仿宋_GB2312" w:eastAsia="仿宋_GB2312"/>
                <w:sz w:val="20"/>
              </w:rPr>
              <w:t>、供应商提供服务过程中，不得借机推销其他业务或者设备，不得向涉及企业收取费用，项目结束后不得再以委托方名义进行商业活动。</w:t>
            </w:r>
          </w:p>
          <w:p>
            <w:pPr>
              <w:pStyle w:val="null3"/>
            </w:pPr>
            <w:r>
              <w:rPr>
                <w:rFonts w:ascii="仿宋_GB2312" w:hAnsi="仿宋_GB2312" w:cs="仿宋_GB2312" w:eastAsia="仿宋_GB2312"/>
                <w:sz w:val="20"/>
              </w:rPr>
              <w:t>五、商务要求</w:t>
            </w:r>
          </w:p>
          <w:p>
            <w:pPr>
              <w:pStyle w:val="null3"/>
            </w:pPr>
            <w:r>
              <w:rPr>
                <w:rFonts w:ascii="仿宋_GB2312" w:hAnsi="仿宋_GB2312" w:cs="仿宋_GB2312" w:eastAsia="仿宋_GB2312"/>
                <w:sz w:val="20"/>
              </w:rPr>
              <w:t>（一）服务期限</w:t>
            </w:r>
          </w:p>
          <w:p>
            <w:pPr>
              <w:pStyle w:val="null3"/>
            </w:pPr>
            <w:r>
              <w:rPr>
                <w:rFonts w:ascii="仿宋_GB2312" w:hAnsi="仿宋_GB2312" w:cs="仿宋_GB2312" w:eastAsia="仿宋_GB2312"/>
                <w:sz w:val="20"/>
              </w:rPr>
              <w:t>自合同签订之日至2026年5月25日</w:t>
            </w:r>
          </w:p>
          <w:p>
            <w:pPr>
              <w:pStyle w:val="null3"/>
            </w:pPr>
            <w:r>
              <w:rPr>
                <w:rFonts w:ascii="仿宋_GB2312" w:hAnsi="仿宋_GB2312" w:cs="仿宋_GB2312" w:eastAsia="仿宋_GB2312"/>
                <w:sz w:val="20"/>
              </w:rPr>
              <w:t>（二）款项结算</w:t>
            </w:r>
          </w:p>
          <w:p>
            <w:pPr>
              <w:pStyle w:val="null3"/>
            </w:pPr>
            <w:r>
              <w:rPr>
                <w:rFonts w:ascii="仿宋_GB2312" w:hAnsi="仿宋_GB2312" w:cs="仿宋_GB2312" w:eastAsia="仿宋_GB2312"/>
                <w:sz w:val="20"/>
              </w:rPr>
              <w:t>活动结束、验收合格后，收到供应商提供的合规发票，达到付款条件起</w:t>
            </w:r>
            <w:r>
              <w:rPr>
                <w:rFonts w:ascii="仿宋_GB2312" w:hAnsi="仿宋_GB2312" w:cs="仿宋_GB2312" w:eastAsia="仿宋_GB2312"/>
                <w:sz w:val="20"/>
              </w:rPr>
              <w:t>15</w:t>
            </w:r>
            <w:r>
              <w:rPr>
                <w:rFonts w:ascii="仿宋_GB2312" w:hAnsi="仿宋_GB2312" w:cs="仿宋_GB2312" w:eastAsia="仿宋_GB2312"/>
                <w:sz w:val="20"/>
              </w:rPr>
              <w:t>工作日内，支付合同总金额的</w:t>
            </w:r>
            <w:r>
              <w:rPr>
                <w:rFonts w:ascii="仿宋_GB2312" w:hAnsi="仿宋_GB2312" w:cs="仿宋_GB2312" w:eastAsia="仿宋_GB2312"/>
                <w:sz w:val="20"/>
              </w:rPr>
              <w:t>100.00%</w:t>
            </w:r>
            <w:r>
              <w:rPr>
                <w:rFonts w:ascii="仿宋_GB2312" w:hAnsi="仿宋_GB2312" w:cs="仿宋_GB2312" w:eastAsia="仿宋_GB2312"/>
                <w:sz w:val="20"/>
              </w:rPr>
              <w:t>。</w:t>
            </w:r>
          </w:p>
          <w:p>
            <w:pPr>
              <w:pStyle w:val="null3"/>
            </w:pPr>
            <w:r>
              <w:rPr>
                <w:rFonts w:ascii="仿宋_GB2312" w:hAnsi="仿宋_GB2312" w:cs="仿宋_GB2312" w:eastAsia="仿宋_GB2312"/>
                <w:sz w:val="20"/>
              </w:rPr>
              <w:t>六、其他</w:t>
            </w:r>
          </w:p>
          <w:p>
            <w:pPr>
              <w:pStyle w:val="null3"/>
            </w:pPr>
            <w:r>
              <w:rPr>
                <w:rFonts w:ascii="仿宋_GB2312" w:hAnsi="仿宋_GB2312" w:cs="仿宋_GB2312" w:eastAsia="仿宋_GB2312"/>
                <w:sz w:val="20"/>
              </w:rPr>
              <w:t>（一）对服务商的业绩要求</w:t>
            </w:r>
          </w:p>
          <w:p>
            <w:pPr>
              <w:pStyle w:val="null3"/>
            </w:pPr>
            <w:r>
              <w:rPr>
                <w:rFonts w:ascii="仿宋_GB2312" w:hAnsi="仿宋_GB2312" w:cs="仿宋_GB2312" w:eastAsia="仿宋_GB2312"/>
                <w:sz w:val="20"/>
              </w:rPr>
              <w:t>具有会展搭建项目、会场服务、策划宣传项目等类似业绩的企业。（提供合同等佐证材料）</w:t>
            </w:r>
          </w:p>
          <w:p>
            <w:pPr>
              <w:pStyle w:val="null3"/>
            </w:pPr>
            <w:r>
              <w:rPr>
                <w:rFonts w:ascii="仿宋_GB2312" w:hAnsi="仿宋_GB2312" w:cs="仿宋_GB2312" w:eastAsia="仿宋_GB2312"/>
                <w:sz w:val="20"/>
              </w:rPr>
              <w:t>（二）进度要求</w:t>
            </w:r>
          </w:p>
          <w:p>
            <w:pPr>
              <w:pStyle w:val="null3"/>
            </w:pPr>
            <w:r>
              <w:rPr>
                <w:rFonts w:ascii="仿宋_GB2312" w:hAnsi="仿宋_GB2312" w:cs="仿宋_GB2312" w:eastAsia="仿宋_GB2312"/>
                <w:sz w:val="20"/>
              </w:rPr>
              <w:t>按照甲方进度要求时间完成全部工作。</w:t>
            </w:r>
          </w:p>
          <w:p>
            <w:pPr>
              <w:pStyle w:val="null3"/>
            </w:pPr>
            <w:r>
              <w:rPr>
                <w:rFonts w:ascii="仿宋_GB2312" w:hAnsi="仿宋_GB2312" w:cs="仿宋_GB2312" w:eastAsia="仿宋_GB2312"/>
                <w:sz w:val="20"/>
              </w:rPr>
              <w:t>（三）成果交付要求</w:t>
            </w:r>
          </w:p>
          <w:p>
            <w:pPr>
              <w:pStyle w:val="null3"/>
            </w:pPr>
            <w:r>
              <w:rPr>
                <w:rFonts w:ascii="仿宋_GB2312" w:hAnsi="仿宋_GB2312" w:cs="仿宋_GB2312" w:eastAsia="仿宋_GB2312"/>
                <w:sz w:val="20"/>
              </w:rPr>
              <w:t>需达到采购人对项目的具体要求。</w:t>
            </w:r>
          </w:p>
          <w:p>
            <w:pPr>
              <w:pStyle w:val="null3"/>
            </w:pPr>
            <w:r>
              <w:rPr>
                <w:rFonts w:ascii="仿宋_GB2312" w:hAnsi="仿宋_GB2312" w:cs="仿宋_GB2312" w:eastAsia="仿宋_GB2312"/>
                <w:sz w:val="20"/>
              </w:rPr>
              <w:t>（四）质量验收标准或规范</w:t>
            </w:r>
          </w:p>
          <w:p>
            <w:pPr>
              <w:pStyle w:val="null3"/>
            </w:pPr>
            <w:r>
              <w:rPr>
                <w:rFonts w:ascii="仿宋_GB2312" w:hAnsi="仿宋_GB2312" w:cs="仿宋_GB2312" w:eastAsia="仿宋_GB2312"/>
                <w:sz w:val="20"/>
              </w:rPr>
              <w:t>现行的国家标准或国家行政部门颁布的法律法规、规章制度等，是项目验收的另一个重要依据。没有国家标准的，可以参考行业标准。</w:t>
            </w:r>
          </w:p>
          <w:p>
            <w:pPr>
              <w:pStyle w:val="null3"/>
            </w:pPr>
            <w:r>
              <w:rPr>
                <w:rFonts w:ascii="仿宋_GB2312" w:hAnsi="仿宋_GB2312" w:cs="仿宋_GB2312" w:eastAsia="仿宋_GB2312"/>
                <w:sz w:val="20"/>
              </w:rPr>
              <w:t>1</w:t>
            </w:r>
            <w:r>
              <w:rPr>
                <w:rFonts w:ascii="仿宋_GB2312" w:hAnsi="仿宋_GB2312" w:cs="仿宋_GB2312" w:eastAsia="仿宋_GB2312"/>
                <w:sz w:val="20"/>
              </w:rPr>
              <w:t>、服务期满后按照成交供应商所提供的资料及数据进行验收；</w:t>
            </w:r>
          </w:p>
          <w:p>
            <w:pPr>
              <w:pStyle w:val="null3"/>
            </w:pPr>
            <w:r>
              <w:rPr>
                <w:rFonts w:ascii="仿宋_GB2312" w:hAnsi="仿宋_GB2312" w:cs="仿宋_GB2312" w:eastAsia="仿宋_GB2312"/>
                <w:sz w:val="20"/>
              </w:rPr>
              <w:t>2</w:t>
            </w:r>
            <w:r>
              <w:rPr>
                <w:rFonts w:ascii="仿宋_GB2312" w:hAnsi="仿宋_GB2312" w:cs="仿宋_GB2312" w:eastAsia="仿宋_GB2312"/>
                <w:sz w:val="20"/>
              </w:rPr>
              <w:t>、最终验收：自合同签订之日起至完成全部项目内容，需按照采购人确定的时间完成交付并验收合格。</w:t>
            </w:r>
          </w:p>
          <w:p>
            <w:pPr>
              <w:pStyle w:val="null3"/>
            </w:pPr>
            <w:r>
              <w:rPr>
                <w:rFonts w:ascii="仿宋_GB2312" w:hAnsi="仿宋_GB2312" w:cs="仿宋_GB2312" w:eastAsia="仿宋_GB2312"/>
                <w:sz w:val="20"/>
              </w:rPr>
              <w:t>3</w:t>
            </w:r>
            <w:r>
              <w:rPr>
                <w:rFonts w:ascii="仿宋_GB2312" w:hAnsi="仿宋_GB2312" w:cs="仿宋_GB2312" w:eastAsia="仿宋_GB2312"/>
                <w:sz w:val="20"/>
              </w:rPr>
              <w:t>、验收和评价方式</w:t>
            </w:r>
          </w:p>
          <w:p>
            <w:pPr>
              <w:pStyle w:val="null3"/>
            </w:pPr>
            <w:r>
              <w:rPr>
                <w:rFonts w:ascii="仿宋_GB2312" w:hAnsi="仿宋_GB2312" w:cs="仿宋_GB2312" w:eastAsia="仿宋_GB2312"/>
                <w:sz w:val="20"/>
              </w:rPr>
              <w:t xml:space="preserve">3.1  </w:t>
            </w:r>
            <w:r>
              <w:rPr>
                <w:rFonts w:ascii="仿宋_GB2312" w:hAnsi="仿宋_GB2312" w:cs="仿宋_GB2312" w:eastAsia="仿宋_GB2312"/>
                <w:sz w:val="20"/>
              </w:rPr>
              <w:t>乙方提供的服务最终验收达不到磋商文件要求和磋商响应文件承诺及国家或行业标准，或在使用中发现甲方不能容忍的缺陷等，将视为验收不合格，乙方应在甲方要求的时间内无条件完善或要求赔付采购人损失。</w:t>
            </w:r>
          </w:p>
          <w:p>
            <w:pPr>
              <w:pStyle w:val="null3"/>
            </w:pPr>
            <w:r>
              <w:rPr>
                <w:rFonts w:ascii="仿宋_GB2312" w:hAnsi="仿宋_GB2312" w:cs="仿宋_GB2312" w:eastAsia="仿宋_GB2312"/>
                <w:sz w:val="20"/>
              </w:rPr>
              <w:t xml:space="preserve">3.2  </w:t>
            </w:r>
            <w:r>
              <w:rPr>
                <w:rFonts w:ascii="仿宋_GB2312" w:hAnsi="仿宋_GB2312" w:cs="仿宋_GB2312" w:eastAsia="仿宋_GB2312"/>
                <w:sz w:val="20"/>
              </w:rPr>
              <w:t>若发现乙方有弄虚作假的，以及在项目实施阶段故意或随意夸大服务，本项目合同解除，乙方赔偿甲方相应的损失。</w:t>
            </w:r>
          </w:p>
          <w:p>
            <w:pPr>
              <w:pStyle w:val="null3"/>
            </w:pPr>
            <w:r>
              <w:rPr>
                <w:rFonts w:ascii="仿宋_GB2312" w:hAnsi="仿宋_GB2312" w:cs="仿宋_GB2312" w:eastAsia="仿宋_GB2312"/>
                <w:sz w:val="20"/>
              </w:rPr>
              <w:t xml:space="preserve">3.3  </w:t>
            </w:r>
            <w:r>
              <w:rPr>
                <w:rFonts w:ascii="仿宋_GB2312" w:hAnsi="仿宋_GB2312" w:cs="仿宋_GB2312" w:eastAsia="仿宋_GB2312"/>
                <w:sz w:val="20"/>
              </w:rPr>
              <w:t>验收标准：按磋商文件、磋商响应文件等服务指标进行逐项验收，各项指标均应符合验收标准及要求。</w:t>
            </w:r>
          </w:p>
          <w:p>
            <w:pPr>
              <w:pStyle w:val="null3"/>
            </w:pPr>
            <w:r>
              <w:rPr>
                <w:rFonts w:ascii="仿宋_GB2312" w:hAnsi="仿宋_GB2312" w:cs="仿宋_GB2312" w:eastAsia="仿宋_GB2312"/>
                <w:sz w:val="20"/>
              </w:rPr>
              <w:t xml:space="preserve">3.4  </w:t>
            </w:r>
            <w:r>
              <w:rPr>
                <w:rFonts w:ascii="仿宋_GB2312" w:hAnsi="仿宋_GB2312" w:cs="仿宋_GB2312" w:eastAsia="仿宋_GB2312"/>
                <w:sz w:val="20"/>
              </w:rPr>
              <w:t>验收合格后，填写验收单，双方盖章、签字生效。</w:t>
            </w:r>
          </w:p>
          <w:p>
            <w:pPr>
              <w:pStyle w:val="null3"/>
            </w:pPr>
            <w:r>
              <w:rPr>
                <w:rFonts w:ascii="仿宋_GB2312" w:hAnsi="仿宋_GB2312" w:cs="仿宋_GB2312" w:eastAsia="仿宋_GB2312"/>
                <w:sz w:val="20"/>
              </w:rPr>
              <w:t xml:space="preserve">3.5  </w:t>
            </w:r>
            <w:r>
              <w:rPr>
                <w:rFonts w:ascii="仿宋_GB2312" w:hAnsi="仿宋_GB2312" w:cs="仿宋_GB2312" w:eastAsia="仿宋_GB2312"/>
                <w:sz w:val="20"/>
              </w:rPr>
              <w:t>验收依据</w:t>
            </w:r>
          </w:p>
          <w:p>
            <w:pPr>
              <w:pStyle w:val="null3"/>
            </w:pPr>
            <w:r>
              <w:rPr>
                <w:rFonts w:ascii="仿宋_GB2312" w:hAnsi="仿宋_GB2312" w:cs="仿宋_GB2312" w:eastAsia="仿宋_GB2312"/>
                <w:sz w:val="20"/>
              </w:rPr>
              <w:t xml:space="preserve">3.5.1  </w:t>
            </w:r>
            <w:r>
              <w:rPr>
                <w:rFonts w:ascii="仿宋_GB2312" w:hAnsi="仿宋_GB2312" w:cs="仿宋_GB2312" w:eastAsia="仿宋_GB2312"/>
                <w:sz w:val="20"/>
              </w:rPr>
              <w:t>合同文本。</w:t>
            </w:r>
          </w:p>
          <w:p>
            <w:pPr>
              <w:pStyle w:val="null3"/>
            </w:pPr>
            <w:r>
              <w:rPr>
                <w:rFonts w:ascii="仿宋_GB2312" w:hAnsi="仿宋_GB2312" w:cs="仿宋_GB2312" w:eastAsia="仿宋_GB2312"/>
                <w:sz w:val="20"/>
              </w:rPr>
              <w:t xml:space="preserve">3.5.2  </w:t>
            </w:r>
            <w:r>
              <w:rPr>
                <w:rFonts w:ascii="仿宋_GB2312" w:hAnsi="仿宋_GB2312" w:cs="仿宋_GB2312" w:eastAsia="仿宋_GB2312"/>
                <w:sz w:val="20"/>
              </w:rPr>
              <w:t>磋商响应文件、磋商文件、澄清函。</w:t>
            </w:r>
          </w:p>
          <w:p>
            <w:pPr>
              <w:pStyle w:val="null3"/>
            </w:pPr>
            <w:r>
              <w:rPr>
                <w:rFonts w:ascii="仿宋_GB2312" w:hAnsi="仿宋_GB2312" w:cs="仿宋_GB2312" w:eastAsia="仿宋_GB2312"/>
                <w:sz w:val="20"/>
              </w:rPr>
              <w:t xml:space="preserve">3.5.3  </w:t>
            </w:r>
            <w:r>
              <w:rPr>
                <w:rFonts w:ascii="仿宋_GB2312" w:hAnsi="仿宋_GB2312" w:cs="仿宋_GB2312" w:eastAsia="仿宋_GB2312"/>
                <w:sz w:val="20"/>
              </w:rPr>
              <w:t>国家和行业制定的相应的标准和规范。</w:t>
            </w:r>
          </w:p>
          <w:p>
            <w:pPr>
              <w:pStyle w:val="null3"/>
            </w:pPr>
            <w:r>
              <w:rPr>
                <w:rFonts w:ascii="仿宋_GB2312" w:hAnsi="仿宋_GB2312" w:cs="仿宋_GB2312" w:eastAsia="仿宋_GB2312"/>
                <w:sz w:val="20"/>
              </w:rPr>
              <w:t>（五）违约责任</w:t>
            </w:r>
          </w:p>
          <w:p>
            <w:pPr>
              <w:pStyle w:val="null3"/>
            </w:pPr>
            <w:r>
              <w:rPr>
                <w:rFonts w:ascii="仿宋_GB2312" w:hAnsi="仿宋_GB2312" w:cs="仿宋_GB2312" w:eastAsia="仿宋_GB2312"/>
                <w:sz w:val="20"/>
              </w:rPr>
              <w:t>1</w:t>
            </w:r>
            <w:r>
              <w:rPr>
                <w:rFonts w:ascii="仿宋_GB2312" w:hAnsi="仿宋_GB2312" w:cs="仿宋_GB2312" w:eastAsia="仿宋_GB2312"/>
                <w:sz w:val="20"/>
              </w:rPr>
              <w:t>、按照《中华人民共和国民法典》中的相关条款执行。</w:t>
            </w:r>
          </w:p>
          <w:p>
            <w:pPr>
              <w:pStyle w:val="null3"/>
            </w:pPr>
            <w:r>
              <w:rPr>
                <w:rFonts w:ascii="仿宋_GB2312" w:hAnsi="仿宋_GB2312" w:cs="仿宋_GB2312" w:eastAsia="仿宋_GB2312"/>
                <w:sz w:val="20"/>
              </w:rPr>
              <w:t>2</w:t>
            </w:r>
            <w:r>
              <w:rPr>
                <w:rFonts w:ascii="仿宋_GB2312" w:hAnsi="仿宋_GB2312" w:cs="仿宋_GB2312" w:eastAsia="仿宋_GB2312"/>
                <w:sz w:val="20"/>
              </w:rPr>
              <w:t>、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、如有异议另行协商。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自合同签订之日至2026年5月25日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活动结束、验收合格后，收到供应商提供的合规发票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磋商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w:t>
            </w:r>
          </w:p>
        </w:tc>
        <w:tc>
          <w:tcPr>
            <w:tcW w:type="dxa" w:w="1661"/>
          </w:tcPr>
          <w:p>
            <w:pPr>
              <w:pStyle w:val="null3"/>
            </w:pPr>
            <w:r>
              <w:rPr>
                <w:rFonts w:ascii="仿宋_GB2312" w:hAnsi="仿宋_GB2312" w:cs="仿宋_GB2312" w:eastAsia="仿宋_GB2312"/>
              </w:rPr>
              <w:t>中小企业声明函 残疾人福利性单位声明函 1特定资格证明文件.docx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出现下列情形之一的，评审委员会应当启动异常低价投标（响应）审查程序：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报价表 5其他.docx 响应函 1特定资格证明文件.docx 监狱企业的证明文件 3磋商服务方案.docx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展区设计搭建方案</w:t>
            </w:r>
          </w:p>
        </w:tc>
        <w:tc>
          <w:tcPr>
            <w:tcW w:type="dxa" w:w="2492"/>
          </w:tcPr>
          <w:p>
            <w:pPr>
              <w:pStyle w:val="null3"/>
            </w:pPr>
            <w:r>
              <w:rPr>
                <w:rFonts w:ascii="仿宋_GB2312" w:hAnsi="仿宋_GB2312" w:cs="仿宋_GB2312" w:eastAsia="仿宋_GB2312"/>
              </w:rPr>
              <w:t>一、评审内容 针对本项目提出适用于本项目的展区设计搭建方案，方案包括： ①展区平面布局设计方案 ②展区效果设计方案 ③结构搭建方案 ④材料选用方案 ⑤安全施工与消防保障方案 二、评审标准 1、完整性：方案必须全面，对评审内容中的各项要求有详细描述； 2、可实施性：切合本项目实际情况，提出步骤清晰、合理的方案； 3、针对性：方案能够紧扣项目实际情况，内容科学合理。 三、赋分标准（满分18分） ①展区平面布局设计方案：每完全满足一个评审标准得2分，满分6分； ②展区效果设计方案：每完全满足一个评审标准得1分，满分3分； ③结构搭建方案：每完全满足一个评审标准得1 分，满分3分； ④材料选用方案：每完全满足一个评审标准得1分，满分3分； ⑤安全施工与消防保障方案：每完全满足一个评审标准得1分，满分3分。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现场活动及氛围营造方案</w:t>
            </w:r>
          </w:p>
        </w:tc>
        <w:tc>
          <w:tcPr>
            <w:tcW w:type="dxa" w:w="2492"/>
          </w:tcPr>
          <w:p>
            <w:pPr>
              <w:pStyle w:val="null3"/>
            </w:pPr>
            <w:r>
              <w:rPr>
                <w:rFonts w:ascii="仿宋_GB2312" w:hAnsi="仿宋_GB2312" w:cs="仿宋_GB2312" w:eastAsia="仿宋_GB2312"/>
              </w:rPr>
              <w:t>一、评审内容 针对本项目提出适用于本项目的现场活动及氛围营造方案，方案包括： ①活动流程安排 ②氛围营造措施 ③应急保障措施 二、评审标准 1、完整性：方案必须全面，对评审内容中的各项要求有详细描述； 2、可实施性：切合本项目实际情况，提出步骤清晰、合理的方案； 3、针对性：方案能够紧扣项目实际情况，内容科学合理。 三、赋分标准（满分9分） ①活动流程安排：每完全满足一个评审标准得1分，满分3分； ②氛围营造措施：每完全满足一个评审标准得1分，满分3分； ③应急保障措施：每完全满足一个评审标准得1分，满分3分。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展商组织筛选方案</w:t>
            </w:r>
          </w:p>
        </w:tc>
        <w:tc>
          <w:tcPr>
            <w:tcW w:type="dxa" w:w="2492"/>
          </w:tcPr>
          <w:p>
            <w:pPr>
              <w:pStyle w:val="null3"/>
            </w:pPr>
            <w:r>
              <w:rPr>
                <w:rFonts w:ascii="仿宋_GB2312" w:hAnsi="仿宋_GB2312" w:cs="仿宋_GB2312" w:eastAsia="仿宋_GB2312"/>
              </w:rPr>
              <w:t>一、评审内容 针对采购需求提出适用于本项目的展商组织筛选方案，方案包括： ①展商招募计划 ②筛选标准 ③入驻流程 ④服务保障措施； ⑤不少于 20 家参展企业保障计划 二、评审标准 1、完整性：方案必须全面，对评审内容中的各项要求有详细描述； 2、可实施性：切合本项目实际情况，提出步骤清晰、合理的方案； 3、针对性：方案能够紧扣项目实际情况，内容科学合理。 三、赋分标准（满分15分） ①展商招募计划：每完全满足一个评审标准得1分，满分3分； ②筛选标准：每完全满足一个评审标准得1分，满分3分； ③入驻流程：每完全满足一个评审标准得1分，满分3分； ④服务保障措施：每完全满足一个评审标准得1分，满分3分； ⑤不少于 20 家参展企业保障计划：每完全满足一个评审标准得1分，满分3分。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宣传内容制作方案</w:t>
            </w:r>
          </w:p>
        </w:tc>
        <w:tc>
          <w:tcPr>
            <w:tcW w:type="dxa" w:w="2492"/>
          </w:tcPr>
          <w:p>
            <w:pPr>
              <w:pStyle w:val="null3"/>
            </w:pPr>
            <w:r>
              <w:rPr>
                <w:rFonts w:ascii="仿宋_GB2312" w:hAnsi="仿宋_GB2312" w:cs="仿宋_GB2312" w:eastAsia="仿宋_GB2312"/>
              </w:rPr>
              <w:t>一、评审内容 针对本项目提出适用于本项目的宣传内容制作方案，方案包括： ①主题视觉设计 ②文化内容创作 ③宣传物料清单 二、评审标准 1、完整性：方案必须全面，对评审内容中的各项要求有详细描述； 2、可实施性：切合本项目实际情况，提出步骤清晰、合理的方案； 3、针对性：方案能够紧扣项目实际情况，内容科学合理。 三、赋分标准（满分12分） ①主题视觉设计：每完全满足一个评审标准得1分，满分3分； ②文化内容创作：每完全满足一个评审标准得2分，满分6分; ③宣传物料清单：每完全满足一个评审标准得1分，满分3分。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履约保障与验收响应</w:t>
            </w:r>
          </w:p>
        </w:tc>
        <w:tc>
          <w:tcPr>
            <w:tcW w:type="dxa" w:w="2492"/>
          </w:tcPr>
          <w:p>
            <w:pPr>
              <w:pStyle w:val="null3"/>
            </w:pPr>
            <w:r>
              <w:rPr>
                <w:rFonts w:ascii="仿宋_GB2312" w:hAnsi="仿宋_GB2312" w:cs="仿宋_GB2312" w:eastAsia="仿宋_GB2312"/>
              </w:rPr>
              <w:t>一、评审内容 针对本项目提出适用于本项目的履约保障与验收响应方案，方案包括： ①进度计划 ②验收标准响应 ③违约责任承诺 二、评审标准 1、完整性：方案必须全面，对评审内容中的各项要求有详细描述； 2、可实施性：切合本项目实际情况，提出步骤清晰、合理的方案； 3、针对性：方案能够紧扣项目实际情况，内容科学合理。 三、赋分标准（满分9分） ①进度计划：每完全满足一个评审标准得1分，满分3分； ②验收标准响应：每完全满足一个评审标准得1分，满分3分； ③违约责任承诺：每完全满足一个评审标准得1分，满分3分。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针对本项目提出适用于本项目的人员配备方案，方案包括： ①项目人员配置 ②团队人员管理制度 二、评审标准 1、完整性：方案必须全面，对评审内容中的各项要求有详细描述； 2、可实施性：切合本项目实际情况，提出步骤清晰、合理的方案； 3、针对性：方案能够紧扣项目实际情况，内容科学合理。 三、赋分标准（满分9分） ①项目人员配置：每完全满足一个评审标准得2分，满分6分； ②团队人员管理制度：每完全满足一个评审标准得1分，满分3分。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须提供自2023年1月1日至今会展搭建项目、会场服务、策划宣传项目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1.经初审合格的响应文件，其磋商响应报价为有效投标价。 2.有效最低报价为基准价得15分。 3.按（有效最低报价/有效投标报价）×15的公式计算其得分。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