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643" w:firstLineChars="200"/>
        <w:jc w:val="center"/>
        <w:rPr>
          <w:rFonts w:ascii="宋体" w:hAnsi="宋体" w:cs="宋体"/>
          <w:b/>
          <w:bCs/>
          <w:color w:val="000000"/>
          <w:sz w:val="28"/>
          <w:szCs w:val="28"/>
        </w:rPr>
      </w:pPr>
      <w:r>
        <w:rPr>
          <w:rFonts w:ascii="宋体" w:hAnsi="宋体" w:cs="宋体"/>
          <w:b/>
          <w:bCs/>
          <w:color w:val="000000"/>
          <w:sz w:val="32"/>
          <w:szCs w:val="32"/>
        </w:rPr>
        <w:t xml:space="preserve"> </w:t>
      </w:r>
      <w:r>
        <w:rPr>
          <w:rFonts w:hint="eastAsia" w:ascii="宋体" w:hAnsi="宋体" w:cs="宋体"/>
          <w:b/>
          <w:bCs/>
          <w:color w:val="000000"/>
          <w:sz w:val="32"/>
          <w:szCs w:val="32"/>
        </w:rPr>
        <w:t>拟签订的合同条款</w:t>
      </w:r>
    </w:p>
    <w:p>
      <w:pPr>
        <w:spacing w:line="360" w:lineRule="auto"/>
        <w:ind w:firstLine="480" w:firstLineChars="200"/>
        <w:rPr>
          <w:rFonts w:ascii="宋体" w:hAnsi="宋体" w:cs="宋体"/>
          <w:color w:val="000000"/>
          <w:sz w:val="24"/>
        </w:rPr>
      </w:pPr>
      <w:r>
        <w:rPr>
          <w:rFonts w:hint="eastAsia" w:ascii="宋体" w:hAnsi="宋体" w:cs="宋体"/>
          <w:color w:val="000000"/>
          <w:sz w:val="24"/>
        </w:rPr>
        <w:t>（此合同样本仅供参考，合同具体细则以双方协定为准）</w:t>
      </w:r>
    </w:p>
    <w:p>
      <w:pPr>
        <w:spacing w:line="360" w:lineRule="auto"/>
        <w:ind w:firstLine="480" w:firstLineChars="200"/>
        <w:rPr>
          <w:rFonts w:hint="eastAsia" w:ascii="宋体" w:hAnsi="宋体" w:cs="宋体"/>
          <w:color w:val="000000"/>
          <w:sz w:val="24"/>
        </w:rPr>
      </w:pPr>
      <w:r>
        <w:rPr>
          <w:rFonts w:hint="eastAsia" w:ascii="宋体" w:hAnsi="宋体" w:cs="宋体"/>
          <w:color w:val="000000"/>
          <w:sz w:val="24"/>
        </w:rPr>
        <w:t>甲方：（前款所称采购人）         住所：</w:t>
      </w:r>
    </w:p>
    <w:p>
      <w:pPr>
        <w:spacing w:line="360" w:lineRule="auto"/>
        <w:ind w:firstLine="480" w:firstLineChars="200"/>
        <w:rPr>
          <w:rFonts w:hint="eastAsia" w:ascii="宋体" w:hAnsi="宋体" w:cs="宋体"/>
          <w:color w:val="000000"/>
          <w:sz w:val="24"/>
        </w:rPr>
      </w:pPr>
      <w:r>
        <w:rPr>
          <w:rFonts w:hint="eastAsia" w:ascii="宋体" w:hAnsi="宋体" w:cs="宋体"/>
          <w:color w:val="000000"/>
          <w:sz w:val="24"/>
        </w:rPr>
        <w:t>乙方：（前款所称成交供应商）     住所：</w:t>
      </w:r>
    </w:p>
    <w:p>
      <w:pPr>
        <w:spacing w:line="360" w:lineRule="auto"/>
        <w:ind w:firstLine="480" w:firstLineChars="200"/>
        <w:rPr>
          <w:rFonts w:hint="eastAsia" w:ascii="宋体" w:hAnsi="宋体" w:cs="宋体"/>
          <w:color w:val="000000"/>
          <w:sz w:val="24"/>
        </w:rPr>
      </w:pPr>
      <w:r>
        <w:rPr>
          <w:rFonts w:hint="eastAsia" w:ascii="宋体" w:hAnsi="宋体" w:cs="宋体"/>
          <w:color w:val="000000"/>
          <w:sz w:val="24"/>
        </w:rPr>
        <w:t>一、合同内容（标的、数量、质量等）:</w:t>
      </w:r>
    </w:p>
    <w:p>
      <w:pPr>
        <w:spacing w:line="360" w:lineRule="auto"/>
        <w:ind w:firstLine="480" w:firstLineChars="200"/>
        <w:rPr>
          <w:rFonts w:hint="eastAsia" w:ascii="宋体" w:hAnsi="宋体" w:cs="宋体"/>
          <w:color w:val="000000"/>
          <w:sz w:val="24"/>
        </w:rPr>
      </w:pPr>
      <w:r>
        <w:rPr>
          <w:rFonts w:hint="eastAsia" w:ascii="宋体" w:hAnsi="宋体" w:cs="宋体"/>
          <w:color w:val="000000"/>
          <w:sz w:val="24"/>
        </w:rPr>
        <w:t>二、合同价款</w:t>
      </w:r>
    </w:p>
    <w:p>
      <w:pPr>
        <w:spacing w:line="360" w:lineRule="auto"/>
        <w:ind w:firstLine="480" w:firstLineChars="200"/>
        <w:rPr>
          <w:rFonts w:hint="eastAsia" w:ascii="宋体" w:hAnsi="宋体" w:cs="宋体"/>
          <w:color w:val="000000"/>
          <w:sz w:val="24"/>
        </w:rPr>
      </w:pPr>
      <w:r>
        <w:rPr>
          <w:rFonts w:hint="eastAsia" w:ascii="宋体" w:hAnsi="宋体" w:cs="宋体"/>
          <w:color w:val="000000"/>
          <w:sz w:val="24"/>
        </w:rPr>
        <w:t>1、合同总价：</w:t>
      </w:r>
    </w:p>
    <w:p>
      <w:pPr>
        <w:spacing w:line="360" w:lineRule="auto"/>
        <w:ind w:firstLine="480" w:firstLineChars="200"/>
        <w:rPr>
          <w:rFonts w:hint="eastAsia" w:ascii="宋体" w:hAnsi="宋体" w:cs="宋体"/>
          <w:color w:val="000000"/>
          <w:sz w:val="24"/>
        </w:rPr>
      </w:pPr>
      <w:r>
        <w:rPr>
          <w:rFonts w:hint="eastAsia" w:ascii="宋体" w:hAnsi="宋体" w:cs="宋体"/>
          <w:color w:val="000000"/>
          <w:sz w:val="24"/>
        </w:rPr>
        <w:t>2、合同总价包括：</w:t>
      </w:r>
    </w:p>
    <w:p>
      <w:pPr>
        <w:spacing w:line="360" w:lineRule="auto"/>
        <w:ind w:firstLine="480" w:firstLineChars="200"/>
        <w:rPr>
          <w:rFonts w:hint="eastAsia" w:ascii="宋体" w:hAnsi="宋体" w:cs="宋体"/>
          <w:color w:val="000000"/>
          <w:sz w:val="24"/>
        </w:rPr>
      </w:pPr>
      <w:r>
        <w:rPr>
          <w:rFonts w:hint="eastAsia" w:ascii="宋体" w:hAnsi="宋体" w:cs="宋体"/>
          <w:color w:val="000000"/>
          <w:sz w:val="24"/>
        </w:rPr>
        <w:t>3、合同总价一次包死，不受市场价变化的影响。</w:t>
      </w:r>
    </w:p>
    <w:p>
      <w:pPr>
        <w:pStyle w:val="2"/>
        <w:ind w:firstLine="480"/>
        <w:rPr>
          <w:rFonts w:hint="eastAsia" w:ascii="宋体" w:hAnsi="宋体" w:cs="宋体"/>
          <w:color w:val="000000"/>
        </w:rPr>
      </w:pPr>
      <w:r>
        <w:rPr>
          <w:rFonts w:hint="eastAsia" w:ascii="宋体" w:hAnsi="宋体" w:cs="宋体"/>
          <w:color w:val="000000"/>
        </w:rPr>
        <w:t>4、履约保证金（有/无）</w:t>
      </w:r>
    </w:p>
    <w:p>
      <w:pPr>
        <w:pStyle w:val="2"/>
        <w:ind w:firstLine="480"/>
        <w:rPr>
          <w:rFonts w:hint="eastAsia" w:ascii="宋体" w:hAnsi="宋体" w:cs="宋体"/>
          <w:color w:val="000000"/>
        </w:rPr>
      </w:pPr>
      <w:r>
        <w:rPr>
          <w:rFonts w:hint="eastAsia" w:ascii="宋体" w:hAnsi="宋体" w:cs="宋体"/>
          <w:color w:val="000000"/>
        </w:rPr>
        <w:t>4.1履约保证金金额为成交合同金额的（最高10%）。</w:t>
      </w:r>
    </w:p>
    <w:p>
      <w:pPr>
        <w:pStyle w:val="2"/>
        <w:ind w:firstLine="480"/>
        <w:rPr>
          <w:rFonts w:hint="eastAsia" w:ascii="宋体" w:hAnsi="宋体" w:cs="宋体"/>
          <w:color w:val="000000"/>
        </w:rPr>
      </w:pPr>
      <w:r>
        <w:rPr>
          <w:rFonts w:hint="eastAsia" w:ascii="宋体" w:hAnsi="宋体" w:cs="宋体"/>
          <w:color w:val="000000"/>
        </w:rPr>
        <w:t>4.2履约保证金交纳时间：合同签订前必须交纳至（采购人）。</w:t>
      </w:r>
    </w:p>
    <w:p>
      <w:pPr>
        <w:pStyle w:val="2"/>
        <w:ind w:firstLine="480"/>
        <w:rPr>
          <w:rFonts w:hint="eastAsia" w:ascii="宋体" w:hAnsi="宋体" w:cs="宋体"/>
          <w:color w:val="000000"/>
        </w:rPr>
      </w:pPr>
      <w:r>
        <w:rPr>
          <w:rFonts w:hint="eastAsia" w:ascii="宋体" w:hAnsi="宋体" w:cs="宋体"/>
          <w:color w:val="000000"/>
        </w:rPr>
        <w:t>4.3履约保证金交纳形式：成交供应商应当以支票、汇票、本票或者陕西省财政厅认定的担保机构出具的保函等非现金形式提交。</w:t>
      </w:r>
    </w:p>
    <w:p>
      <w:pPr>
        <w:pStyle w:val="2"/>
        <w:ind w:firstLine="480"/>
        <w:rPr>
          <w:rFonts w:hint="eastAsia" w:ascii="宋体" w:hAnsi="宋体" w:cs="宋体"/>
          <w:color w:val="000000"/>
        </w:rPr>
      </w:pPr>
      <w:r>
        <w:rPr>
          <w:rFonts w:hint="eastAsia" w:ascii="宋体" w:hAnsi="宋体" w:cs="宋体"/>
          <w:color w:val="000000"/>
        </w:rPr>
        <w:t>4.4履约保证金收取单位名称：</w:t>
      </w:r>
    </w:p>
    <w:p>
      <w:pPr>
        <w:pStyle w:val="2"/>
        <w:ind w:firstLine="480"/>
        <w:rPr>
          <w:rFonts w:hint="eastAsia" w:ascii="宋体" w:hAnsi="宋体" w:cs="宋体"/>
          <w:color w:val="000000"/>
        </w:rPr>
      </w:pPr>
      <w:r>
        <w:rPr>
          <w:rFonts w:hint="eastAsia" w:ascii="宋体" w:hAnsi="宋体" w:cs="宋体"/>
          <w:color w:val="000000"/>
        </w:rPr>
        <w:t>开户银行：</w:t>
      </w:r>
    </w:p>
    <w:p>
      <w:pPr>
        <w:pStyle w:val="2"/>
        <w:ind w:firstLine="480"/>
        <w:rPr>
          <w:rFonts w:hint="eastAsia" w:ascii="宋体" w:hAnsi="宋体" w:cs="宋体"/>
          <w:color w:val="000000"/>
        </w:rPr>
      </w:pPr>
      <w:r>
        <w:rPr>
          <w:rFonts w:hint="eastAsia" w:ascii="宋体" w:hAnsi="宋体" w:cs="宋体"/>
          <w:color w:val="000000"/>
        </w:rPr>
        <w:t>账号：</w:t>
      </w:r>
    </w:p>
    <w:p>
      <w:pPr>
        <w:pStyle w:val="2"/>
        <w:ind w:firstLine="480"/>
        <w:rPr>
          <w:rFonts w:hint="eastAsia" w:ascii="宋体" w:hAnsi="宋体" w:cs="宋体"/>
          <w:color w:val="000000"/>
        </w:rPr>
      </w:pPr>
      <w:r>
        <w:rPr>
          <w:rFonts w:hint="eastAsia" w:ascii="宋体" w:hAnsi="宋体" w:cs="宋体"/>
          <w:color w:val="000000"/>
        </w:rPr>
        <w:t>联系人：</w:t>
      </w:r>
    </w:p>
    <w:p>
      <w:pPr>
        <w:pStyle w:val="2"/>
        <w:ind w:firstLine="480"/>
        <w:rPr>
          <w:rFonts w:hint="eastAsia" w:ascii="宋体" w:hAnsi="宋体" w:cs="宋体"/>
          <w:color w:val="000000"/>
          <w:highlight w:val="none"/>
        </w:rPr>
      </w:pPr>
      <w:r>
        <w:rPr>
          <w:rFonts w:hint="eastAsia" w:ascii="宋体" w:hAnsi="宋体" w:cs="宋体"/>
          <w:color w:val="000000"/>
        </w:rPr>
        <w:t>联系</w:t>
      </w:r>
      <w:r>
        <w:rPr>
          <w:rFonts w:hint="eastAsia" w:ascii="宋体" w:hAnsi="宋体" w:cs="宋体"/>
          <w:color w:val="000000"/>
          <w:highlight w:val="none"/>
        </w:rPr>
        <w:t>电话：</w:t>
      </w:r>
    </w:p>
    <w:p>
      <w:pPr>
        <w:pStyle w:val="2"/>
        <w:ind w:firstLine="480"/>
        <w:rPr>
          <w:color w:val="000000"/>
          <w:highlight w:val="none"/>
        </w:rPr>
      </w:pPr>
      <w:r>
        <w:rPr>
          <w:rFonts w:hint="eastAsia" w:ascii="宋体" w:hAnsi="宋体" w:cs="宋体"/>
          <w:color w:val="000000"/>
          <w:highlight w:val="none"/>
        </w:rPr>
        <w:t>5.履约保证金的退付：</w:t>
      </w:r>
    </w:p>
    <w:p>
      <w:pPr>
        <w:spacing w:line="360" w:lineRule="auto"/>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三、合同结算</w:t>
      </w:r>
    </w:p>
    <w:p>
      <w:pPr>
        <w:spacing w:line="360" w:lineRule="auto"/>
        <w:ind w:firstLine="480" w:firstLineChars="200"/>
        <w:rPr>
          <w:rFonts w:hint="eastAsia" w:ascii="宋体" w:hAnsi="宋体" w:eastAsia="宋体" w:cs="宋体"/>
          <w:b/>
          <w:bCs/>
          <w:sz w:val="24"/>
          <w:highlight w:val="none"/>
        </w:rPr>
      </w:pPr>
      <w:r>
        <w:rPr>
          <w:rFonts w:hint="eastAsia" w:ascii="宋体" w:hAnsi="宋体" w:cs="宋体"/>
          <w:color w:val="000000"/>
          <w:sz w:val="24"/>
          <w:highlight w:val="none"/>
        </w:rPr>
        <w:t>1、付款方式：付款条件说明：完成配送并由采购人确认后，达到付款条件起30日内，支付合同总金额的 100.00%。</w:t>
      </w:r>
    </w:p>
    <w:p>
      <w:pPr>
        <w:spacing w:line="360" w:lineRule="auto"/>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2、结算方式：银行转账。</w:t>
      </w:r>
    </w:p>
    <w:p>
      <w:pPr>
        <w:spacing w:line="360" w:lineRule="auto"/>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3、结算单位：由甲方负责结算，乙方开具合同总价数的全额发票交采购人。</w:t>
      </w:r>
    </w:p>
    <w:p>
      <w:pPr>
        <w:pStyle w:val="2"/>
        <w:rPr>
          <w:rFonts w:hint="eastAsia" w:ascii="宋体" w:hAnsi="宋体" w:cs="宋体"/>
          <w:color w:val="000000"/>
          <w:highlight w:val="none"/>
        </w:rPr>
      </w:pPr>
      <w:r>
        <w:rPr>
          <w:rFonts w:hint="eastAsia" w:ascii="宋体" w:hAnsi="宋体" w:cs="宋体"/>
          <w:color w:val="000000"/>
          <w:highlight w:val="none"/>
        </w:rPr>
        <w:t xml:space="preserve">    四、交货期、交货地点及方式:</w:t>
      </w:r>
    </w:p>
    <w:p>
      <w:pPr>
        <w:spacing w:line="360" w:lineRule="auto"/>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1、交货期：按照采购人要求分批次在规定时间内配送</w:t>
      </w:r>
    </w:p>
    <w:p>
      <w:pPr>
        <w:spacing w:line="360" w:lineRule="auto"/>
        <w:ind w:firstLine="480" w:firstLineChars="200"/>
        <w:rPr>
          <w:rFonts w:hint="eastAsia" w:ascii="宋体" w:hAnsi="宋体" w:eastAsia="宋体" w:cs="宋体"/>
          <w:color w:val="000000"/>
          <w:sz w:val="24"/>
          <w:highlight w:val="none"/>
          <w:lang w:val="en-US" w:eastAsia="zh-CN"/>
        </w:rPr>
      </w:pPr>
      <w:r>
        <w:rPr>
          <w:rFonts w:hint="eastAsia" w:ascii="宋体" w:hAnsi="宋体" w:cs="宋体"/>
          <w:color w:val="000000"/>
          <w:sz w:val="24"/>
          <w:highlight w:val="none"/>
        </w:rPr>
        <w:t>2、交货地点：由采购人指定地点上门分散配送</w:t>
      </w:r>
    </w:p>
    <w:p>
      <w:pPr>
        <w:spacing w:line="360" w:lineRule="auto"/>
        <w:ind w:firstLine="480" w:firstLineChars="200"/>
        <w:rPr>
          <w:rFonts w:hint="eastAsia" w:ascii="宋体" w:hAnsi="宋体" w:cs="宋体"/>
          <w:color w:val="000000"/>
          <w:sz w:val="24"/>
        </w:rPr>
      </w:pPr>
      <w:r>
        <w:rPr>
          <w:rFonts w:hint="eastAsia" w:ascii="宋体" w:hAnsi="宋体" w:cs="宋体"/>
          <w:color w:val="000000"/>
          <w:sz w:val="24"/>
        </w:rPr>
        <w:t>五、运输</w:t>
      </w:r>
    </w:p>
    <w:p>
      <w:pPr>
        <w:spacing w:line="360" w:lineRule="auto"/>
        <w:ind w:firstLine="480" w:firstLineChars="200"/>
        <w:rPr>
          <w:rFonts w:hint="eastAsia" w:ascii="宋体" w:hAnsi="宋体" w:cs="宋体"/>
          <w:color w:val="000000"/>
          <w:sz w:val="24"/>
        </w:rPr>
      </w:pPr>
      <w:r>
        <w:rPr>
          <w:rFonts w:hint="eastAsia" w:ascii="宋体" w:hAnsi="宋体" w:cs="宋体"/>
          <w:color w:val="000000"/>
          <w:sz w:val="24"/>
        </w:rPr>
        <w:t>1、乙方负责所有货物的运输。确保货物安全、完整到达使用地点，运杂费用包含在总价内，包括货物从供货地点到使用地点的运输费、保险费、搬运费等。</w:t>
      </w:r>
    </w:p>
    <w:p>
      <w:pPr>
        <w:spacing w:line="360" w:lineRule="auto"/>
        <w:ind w:firstLine="480" w:firstLineChars="200"/>
        <w:rPr>
          <w:rFonts w:hint="eastAsia" w:ascii="宋体" w:hAnsi="宋体" w:cs="宋体"/>
          <w:color w:val="000000"/>
          <w:sz w:val="24"/>
        </w:rPr>
      </w:pPr>
      <w:r>
        <w:rPr>
          <w:rFonts w:hint="eastAsia" w:ascii="宋体" w:hAnsi="宋体" w:cs="宋体"/>
          <w:color w:val="000000"/>
          <w:sz w:val="24"/>
        </w:rPr>
        <w:t>2、所有货物在运输、搬运的过程中，造成甲方损失的，由乙方为甲方修复或更新。</w:t>
      </w:r>
    </w:p>
    <w:p>
      <w:pPr>
        <w:spacing w:line="360" w:lineRule="auto"/>
        <w:ind w:firstLine="480" w:firstLineChars="200"/>
        <w:rPr>
          <w:rFonts w:hint="eastAsia" w:ascii="宋体" w:hAnsi="宋体" w:cs="宋体"/>
          <w:color w:val="000000"/>
          <w:sz w:val="24"/>
        </w:rPr>
      </w:pPr>
      <w:r>
        <w:rPr>
          <w:rFonts w:hint="eastAsia" w:ascii="宋体" w:hAnsi="宋体" w:cs="宋体"/>
          <w:color w:val="000000"/>
          <w:sz w:val="24"/>
        </w:rPr>
        <w:t>六、质量保证</w:t>
      </w:r>
    </w:p>
    <w:p>
      <w:pPr>
        <w:spacing w:line="360" w:lineRule="auto"/>
        <w:ind w:firstLine="480" w:firstLineChars="200"/>
        <w:rPr>
          <w:rFonts w:ascii="宋体" w:hAnsi="宋体" w:eastAsia="宋体" w:cs="宋体"/>
          <w:sz w:val="24"/>
          <w:szCs w:val="24"/>
        </w:rPr>
      </w:pPr>
      <w:r>
        <w:rPr>
          <w:rFonts w:ascii="宋体" w:hAnsi="宋体" w:eastAsia="宋体" w:cs="宋体"/>
          <w:sz w:val="24"/>
          <w:szCs w:val="24"/>
        </w:rPr>
        <w:t>1.乙方所供产品必须是经过办理正常手续的全新产品；</w:t>
      </w:r>
    </w:p>
    <w:p>
      <w:pPr>
        <w:spacing w:line="360" w:lineRule="auto"/>
        <w:ind w:firstLine="480" w:firstLineChars="200"/>
        <w:rPr>
          <w:rFonts w:ascii="宋体" w:hAnsi="宋体" w:eastAsia="宋体" w:cs="宋体"/>
          <w:sz w:val="24"/>
          <w:szCs w:val="24"/>
        </w:rPr>
      </w:pPr>
      <w:r>
        <w:rPr>
          <w:rFonts w:ascii="宋体" w:hAnsi="宋体" w:eastAsia="宋体" w:cs="宋体"/>
          <w:sz w:val="24"/>
          <w:szCs w:val="24"/>
        </w:rPr>
        <w:t>2.乙方所供产品是经过国家法定检验、注册、准许市场销售的合法产品；</w:t>
      </w:r>
    </w:p>
    <w:p>
      <w:pPr>
        <w:spacing w:line="360" w:lineRule="auto"/>
        <w:ind w:firstLine="480" w:firstLineChars="200"/>
        <w:rPr>
          <w:rFonts w:ascii="宋体" w:hAnsi="宋体" w:eastAsia="宋体" w:cs="宋体"/>
          <w:sz w:val="24"/>
          <w:szCs w:val="24"/>
        </w:rPr>
      </w:pPr>
      <w:r>
        <w:rPr>
          <w:rFonts w:ascii="宋体" w:hAnsi="宋体" w:eastAsia="宋体" w:cs="宋体"/>
          <w:sz w:val="24"/>
          <w:szCs w:val="24"/>
        </w:rPr>
        <w:t>3.乙方产品质量保证措施完善，符合国家相关标准。</w:t>
      </w:r>
    </w:p>
    <w:p>
      <w:pPr>
        <w:spacing w:line="360" w:lineRule="auto"/>
        <w:ind w:firstLine="480" w:firstLineChars="200"/>
        <w:rPr>
          <w:rFonts w:hint="eastAsia" w:ascii="宋体" w:hAnsi="宋体" w:cs="宋体"/>
          <w:sz w:val="24"/>
          <w:szCs w:val="24"/>
          <w:lang w:eastAsia="zh-CN"/>
        </w:rPr>
      </w:pPr>
      <w:r>
        <w:rPr>
          <w:rFonts w:ascii="宋体" w:hAnsi="宋体" w:eastAsia="宋体" w:cs="宋体"/>
          <w:sz w:val="24"/>
          <w:szCs w:val="24"/>
        </w:rPr>
        <w:t>4.包装要求</w:t>
      </w:r>
      <w:r>
        <w:rPr>
          <w:rFonts w:hint="eastAsia" w:ascii="宋体" w:hAnsi="宋体" w:cs="宋体"/>
          <w:sz w:val="24"/>
          <w:szCs w:val="24"/>
          <w:lang w:eastAsia="zh-CN"/>
        </w:rPr>
        <w:t>：</w:t>
      </w:r>
    </w:p>
    <w:p>
      <w:pPr>
        <w:spacing w:line="360" w:lineRule="auto"/>
        <w:ind w:firstLine="480" w:firstLineChars="200"/>
        <w:rPr>
          <w:rFonts w:ascii="宋体" w:hAnsi="宋体" w:eastAsia="宋体" w:cs="宋体"/>
          <w:sz w:val="24"/>
          <w:szCs w:val="24"/>
        </w:rPr>
      </w:pPr>
      <w:r>
        <w:rPr>
          <w:rFonts w:hint="eastAsia" w:ascii="宋体" w:hAnsi="宋体" w:cs="宋体"/>
          <w:sz w:val="24"/>
          <w:szCs w:val="24"/>
          <w:lang w:val="en-US" w:eastAsia="zh-CN"/>
        </w:rPr>
        <w:t>4.1</w:t>
      </w:r>
      <w:r>
        <w:rPr>
          <w:rFonts w:ascii="宋体" w:hAnsi="宋体" w:eastAsia="宋体" w:cs="宋体"/>
          <w:sz w:val="24"/>
          <w:szCs w:val="24"/>
        </w:rPr>
        <w:t>除合同另有规定外，乙方提供的全部货物，均应按标准保护措施进行包装，并确保货物 安全无损运送甲方指定地点。</w:t>
      </w:r>
    </w:p>
    <w:p>
      <w:pPr>
        <w:spacing w:line="360" w:lineRule="auto"/>
        <w:ind w:firstLine="480" w:firstLineChars="200"/>
        <w:rPr>
          <w:rFonts w:ascii="宋体" w:hAnsi="宋体" w:eastAsia="宋体" w:cs="宋体"/>
          <w:sz w:val="24"/>
          <w:szCs w:val="24"/>
        </w:rPr>
      </w:pPr>
      <w:r>
        <w:rPr>
          <w:rFonts w:hint="eastAsia" w:ascii="宋体" w:hAnsi="宋体" w:cs="宋体"/>
          <w:sz w:val="24"/>
          <w:szCs w:val="24"/>
          <w:lang w:val="en-US" w:eastAsia="zh-CN"/>
        </w:rPr>
        <w:t>4.2</w:t>
      </w:r>
      <w:r>
        <w:rPr>
          <w:rFonts w:ascii="宋体" w:hAnsi="宋体" w:eastAsia="宋体" w:cs="宋体"/>
          <w:sz w:val="24"/>
          <w:szCs w:val="24"/>
        </w:rPr>
        <w:t>每一个包装箱内应附一份详细装箱单和质量合格证。</w:t>
      </w:r>
    </w:p>
    <w:p>
      <w:pPr>
        <w:spacing w:line="360" w:lineRule="auto"/>
        <w:ind w:firstLine="480" w:firstLineChars="200"/>
        <w:rPr>
          <w:rFonts w:hint="eastAsia" w:ascii="宋体" w:hAnsi="宋体" w:eastAsia="宋体"/>
          <w:color w:val="000000"/>
          <w:sz w:val="24"/>
          <w:highlight w:val="none"/>
          <w:lang w:eastAsia="zh-CN"/>
        </w:rPr>
      </w:pPr>
      <w:r>
        <w:rPr>
          <w:rFonts w:ascii="宋体" w:hAnsi="宋体" w:eastAsia="宋体" w:cs="宋体"/>
          <w:sz w:val="24"/>
          <w:szCs w:val="24"/>
        </w:rPr>
        <w:t>5.乙方应保证甲方在使用该货物或其任何一部分时免受第三方提出侵犯其专利权、商标权 或工业设计权的起诉</w:t>
      </w:r>
      <w:r>
        <w:rPr>
          <w:rFonts w:hint="eastAsia" w:ascii="宋体" w:hAnsi="宋体" w:eastAsia="宋体" w:cs="宋体"/>
          <w:sz w:val="24"/>
          <w:szCs w:val="24"/>
          <w:lang w:eastAsia="zh-CN"/>
        </w:rPr>
        <w:t>。</w:t>
      </w:r>
    </w:p>
    <w:p>
      <w:pPr>
        <w:spacing w:line="360" w:lineRule="auto"/>
        <w:ind w:firstLine="480" w:firstLineChars="200"/>
        <w:rPr>
          <w:rFonts w:hint="eastAsia" w:ascii="宋体" w:hAnsi="宋体" w:cs="宋体"/>
          <w:color w:val="000000"/>
          <w:sz w:val="24"/>
        </w:rPr>
      </w:pPr>
      <w:r>
        <w:rPr>
          <w:rFonts w:hint="eastAsia" w:ascii="宋体" w:hAnsi="宋体" w:cs="宋体"/>
          <w:color w:val="000000"/>
          <w:sz w:val="24"/>
        </w:rPr>
        <w:t>七、技术服务</w:t>
      </w:r>
    </w:p>
    <w:p>
      <w:pPr>
        <w:spacing w:line="360" w:lineRule="auto"/>
        <w:ind w:firstLine="480" w:firstLineChars="200"/>
        <w:rPr>
          <w:rFonts w:ascii="宋体" w:hAnsi="宋体" w:eastAsia="宋体" w:cs="宋体"/>
          <w:sz w:val="24"/>
          <w:szCs w:val="24"/>
        </w:rPr>
      </w:pPr>
      <w:r>
        <w:rPr>
          <w:rFonts w:ascii="宋体" w:hAnsi="宋体" w:eastAsia="宋体" w:cs="宋体"/>
          <w:sz w:val="24"/>
          <w:szCs w:val="24"/>
        </w:rPr>
        <w:t>1.技术资料：</w:t>
      </w:r>
    </w:p>
    <w:p>
      <w:pPr>
        <w:spacing w:line="360" w:lineRule="auto"/>
        <w:ind w:firstLine="480" w:firstLineChars="200"/>
        <w:rPr>
          <w:rFonts w:ascii="宋体" w:hAnsi="宋体" w:eastAsia="宋体" w:cs="宋体"/>
          <w:sz w:val="24"/>
          <w:szCs w:val="24"/>
        </w:rPr>
      </w:pPr>
      <w:r>
        <w:rPr>
          <w:rFonts w:hint="eastAsia" w:ascii="宋体" w:hAnsi="宋体" w:cs="宋体"/>
          <w:sz w:val="24"/>
          <w:szCs w:val="24"/>
          <w:lang w:val="en-US" w:eastAsia="zh-CN"/>
        </w:rPr>
        <w:t>1.1</w:t>
      </w:r>
      <w:r>
        <w:rPr>
          <w:rFonts w:ascii="宋体" w:hAnsi="宋体" w:eastAsia="宋体" w:cs="宋体"/>
          <w:sz w:val="24"/>
          <w:szCs w:val="24"/>
        </w:rPr>
        <w:t>产品合格证；</w:t>
      </w:r>
    </w:p>
    <w:p>
      <w:pPr>
        <w:spacing w:line="360" w:lineRule="auto"/>
        <w:ind w:firstLine="480" w:firstLineChars="200"/>
        <w:rPr>
          <w:rFonts w:ascii="宋体" w:hAnsi="宋体" w:eastAsia="宋体" w:cs="宋体"/>
          <w:sz w:val="24"/>
          <w:szCs w:val="24"/>
        </w:rPr>
      </w:pPr>
      <w:r>
        <w:rPr>
          <w:rFonts w:hint="eastAsia" w:ascii="宋体" w:hAnsi="宋体" w:cs="宋体"/>
          <w:sz w:val="24"/>
          <w:szCs w:val="24"/>
          <w:lang w:val="en-US" w:eastAsia="zh-CN"/>
        </w:rPr>
        <w:t>1.2</w:t>
      </w:r>
      <w:r>
        <w:rPr>
          <w:rFonts w:ascii="宋体" w:hAnsi="宋体" w:eastAsia="宋体" w:cs="宋体"/>
          <w:sz w:val="24"/>
          <w:szCs w:val="24"/>
        </w:rPr>
        <w:t>产品使用说明书（中文）；</w:t>
      </w:r>
    </w:p>
    <w:p>
      <w:pPr>
        <w:spacing w:line="360" w:lineRule="auto"/>
        <w:ind w:firstLine="480" w:firstLineChars="200"/>
        <w:rPr>
          <w:rFonts w:ascii="宋体" w:hAnsi="宋体" w:eastAsia="宋体" w:cs="宋体"/>
          <w:sz w:val="24"/>
          <w:szCs w:val="24"/>
        </w:rPr>
      </w:pPr>
      <w:r>
        <w:rPr>
          <w:rFonts w:hint="eastAsia" w:ascii="宋体" w:hAnsi="宋体" w:cs="宋体"/>
          <w:sz w:val="24"/>
          <w:szCs w:val="24"/>
          <w:lang w:val="en-US" w:eastAsia="zh-CN"/>
        </w:rPr>
        <w:t>1.3</w:t>
      </w:r>
      <w:r>
        <w:rPr>
          <w:rFonts w:ascii="宋体" w:hAnsi="宋体" w:eastAsia="宋体" w:cs="宋体"/>
          <w:sz w:val="24"/>
          <w:szCs w:val="24"/>
        </w:rPr>
        <w:t>本批次食品第三方检测报告；</w:t>
      </w:r>
    </w:p>
    <w:p>
      <w:pPr>
        <w:spacing w:line="360" w:lineRule="auto"/>
        <w:ind w:firstLine="480" w:firstLineChars="200"/>
        <w:rPr>
          <w:rFonts w:ascii="宋体" w:hAnsi="宋体" w:eastAsia="宋体" w:cs="宋体"/>
          <w:sz w:val="24"/>
          <w:szCs w:val="24"/>
        </w:rPr>
      </w:pPr>
      <w:r>
        <w:rPr>
          <w:rFonts w:hint="eastAsia" w:ascii="宋体" w:hAnsi="宋体" w:cs="宋体"/>
          <w:sz w:val="24"/>
          <w:szCs w:val="24"/>
          <w:lang w:val="en-US" w:eastAsia="zh-CN"/>
        </w:rPr>
        <w:t>1.4</w:t>
      </w:r>
      <w:r>
        <w:rPr>
          <w:rFonts w:ascii="宋体" w:hAnsi="宋体" w:eastAsia="宋体" w:cs="宋体"/>
          <w:sz w:val="24"/>
          <w:szCs w:val="24"/>
        </w:rPr>
        <w:t>其它资料。</w:t>
      </w:r>
    </w:p>
    <w:p>
      <w:pPr>
        <w:spacing w:line="360" w:lineRule="auto"/>
        <w:ind w:firstLine="480" w:firstLineChars="200"/>
        <w:rPr>
          <w:rFonts w:hint="eastAsia" w:ascii="宋体" w:hAnsi="宋体" w:cs="宋体"/>
          <w:color w:val="000000"/>
          <w:sz w:val="24"/>
        </w:rPr>
      </w:pPr>
      <w:r>
        <w:rPr>
          <w:rFonts w:ascii="宋体" w:hAnsi="宋体" w:eastAsia="宋体" w:cs="宋体"/>
          <w:sz w:val="24"/>
          <w:szCs w:val="24"/>
        </w:rPr>
        <w:t>2.服务承诺：以响应文件、澄清表（函）、合同和随货物的相关文件为准。</w:t>
      </w:r>
    </w:p>
    <w:p>
      <w:pPr>
        <w:spacing w:line="360" w:lineRule="auto"/>
        <w:ind w:firstLine="480" w:firstLineChars="200"/>
        <w:rPr>
          <w:rFonts w:hint="eastAsia" w:ascii="宋体" w:hAnsi="宋体" w:cs="宋体"/>
          <w:sz w:val="24"/>
          <w:szCs w:val="24"/>
          <w:lang w:eastAsia="zh-CN"/>
        </w:rPr>
      </w:pPr>
      <w:r>
        <w:rPr>
          <w:rFonts w:hint="eastAsia" w:ascii="宋体" w:hAnsi="宋体" w:cs="宋体"/>
          <w:sz w:val="24"/>
          <w:szCs w:val="24"/>
          <w:lang w:val="en-US" w:eastAsia="zh-CN"/>
        </w:rPr>
        <w:t>3</w:t>
      </w:r>
      <w:r>
        <w:rPr>
          <w:rFonts w:ascii="宋体" w:hAnsi="宋体" w:eastAsia="宋体" w:cs="宋体"/>
          <w:sz w:val="24"/>
          <w:szCs w:val="24"/>
        </w:rPr>
        <w:t>.售后服务</w:t>
      </w:r>
      <w:r>
        <w:rPr>
          <w:rFonts w:hint="eastAsia" w:ascii="宋体" w:hAnsi="宋体" w:cs="宋体"/>
          <w:sz w:val="24"/>
          <w:szCs w:val="24"/>
          <w:lang w:eastAsia="zh-CN"/>
        </w:rPr>
        <w:t>：</w:t>
      </w:r>
    </w:p>
    <w:p>
      <w:pPr>
        <w:spacing w:line="360" w:lineRule="auto"/>
        <w:ind w:firstLine="480" w:firstLineChars="200"/>
        <w:rPr>
          <w:rFonts w:ascii="宋体" w:hAnsi="宋体" w:eastAsia="宋体" w:cs="宋体"/>
          <w:sz w:val="24"/>
          <w:szCs w:val="24"/>
        </w:rPr>
      </w:pPr>
      <w:r>
        <w:rPr>
          <w:rFonts w:hint="eastAsia" w:ascii="宋体" w:hAnsi="宋体" w:cs="宋体"/>
          <w:sz w:val="24"/>
          <w:szCs w:val="24"/>
          <w:lang w:val="en-US" w:eastAsia="zh-CN"/>
        </w:rPr>
        <w:t>3.1</w:t>
      </w:r>
      <w:r>
        <w:rPr>
          <w:rFonts w:ascii="宋体" w:hAnsi="宋体" w:eastAsia="宋体" w:cs="宋体"/>
          <w:sz w:val="24"/>
          <w:szCs w:val="24"/>
        </w:rPr>
        <w:t>甲方享有产品生产厂家的一切品牌售后服务；</w:t>
      </w:r>
    </w:p>
    <w:p>
      <w:pPr>
        <w:spacing w:line="360" w:lineRule="auto"/>
        <w:ind w:firstLine="480" w:firstLineChars="200"/>
        <w:rPr>
          <w:rFonts w:hint="eastAsia" w:ascii="宋体" w:hAnsi="宋体" w:cs="宋体"/>
          <w:color w:val="000000"/>
          <w:sz w:val="24"/>
          <w:highlight w:val="none"/>
        </w:rPr>
      </w:pPr>
      <w:r>
        <w:rPr>
          <w:rFonts w:hint="eastAsia" w:ascii="宋体" w:hAnsi="宋体" w:cs="宋体"/>
          <w:sz w:val="24"/>
          <w:szCs w:val="24"/>
          <w:lang w:val="en-US" w:eastAsia="zh-CN"/>
        </w:rPr>
        <w:t>3.2</w:t>
      </w:r>
      <w:r>
        <w:rPr>
          <w:rFonts w:ascii="宋体" w:hAnsi="宋体" w:eastAsia="宋体" w:cs="宋体"/>
          <w:sz w:val="24"/>
          <w:szCs w:val="24"/>
        </w:rPr>
        <w:t>乙方应在售后服务内容保证书中，明确售后服务内容、响应时间、范围、方式等，并进行 其他售后服务工作。</w:t>
      </w:r>
    </w:p>
    <w:p>
      <w:pPr>
        <w:numPr>
          <w:ilvl w:val="0"/>
          <w:numId w:val="1"/>
        </w:numPr>
        <w:spacing w:line="360" w:lineRule="auto"/>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验收</w:t>
      </w:r>
    </w:p>
    <w:p>
      <w:pPr>
        <w:numPr>
          <w:ilvl w:val="0"/>
          <w:numId w:val="2"/>
        </w:numPr>
        <w:spacing w:line="360" w:lineRule="auto"/>
        <w:ind w:firstLine="480" w:firstLineChars="200"/>
        <w:rPr>
          <w:rFonts w:ascii="宋体" w:hAnsi="宋体" w:eastAsia="宋体" w:cs="宋体"/>
          <w:sz w:val="24"/>
          <w:szCs w:val="24"/>
        </w:rPr>
      </w:pPr>
      <w:r>
        <w:rPr>
          <w:rFonts w:ascii="宋体" w:hAnsi="宋体" w:eastAsia="宋体" w:cs="宋体"/>
          <w:sz w:val="24"/>
          <w:szCs w:val="24"/>
        </w:rPr>
        <w:t>所验产品的指标、性能参数通过验收不满足磋商文件要求和磋商响应文件承诺的，或在 使用中发现采购人不能容忍的缺陷等，将视为产品验收不合格，供应商应无条件免费更换或退货。</w:t>
      </w:r>
    </w:p>
    <w:p>
      <w:pPr>
        <w:numPr>
          <w:ilvl w:val="0"/>
          <w:numId w:val="2"/>
        </w:numPr>
        <w:spacing w:line="360" w:lineRule="auto"/>
        <w:ind w:left="0" w:leftChars="0" w:firstLine="480" w:firstLineChars="200"/>
        <w:rPr>
          <w:rFonts w:hint="eastAsia" w:ascii="宋体" w:hAnsi="宋体" w:cs="宋体"/>
          <w:color w:val="000000"/>
          <w:sz w:val="24"/>
          <w:highlight w:val="none"/>
        </w:rPr>
      </w:pPr>
      <w:r>
        <w:rPr>
          <w:rFonts w:ascii="宋体" w:hAnsi="宋体" w:eastAsia="宋体" w:cs="宋体"/>
          <w:sz w:val="24"/>
          <w:szCs w:val="24"/>
        </w:rPr>
        <w:t>若发现供应商有弄虚作假的，在投标阶段故意或随意夸大产品技术性能，供应商应无条件退货，并赔偿采购人相应的损失。</w:t>
      </w:r>
    </w:p>
    <w:p>
      <w:pPr>
        <w:numPr>
          <w:ilvl w:val="0"/>
          <w:numId w:val="2"/>
        </w:numPr>
        <w:spacing w:line="360" w:lineRule="auto"/>
        <w:ind w:left="0" w:leftChars="0" w:firstLine="480" w:firstLineChars="200"/>
        <w:rPr>
          <w:rFonts w:hint="eastAsia" w:ascii="宋体" w:hAnsi="宋体" w:cs="宋体"/>
          <w:color w:val="000000"/>
          <w:sz w:val="24"/>
          <w:highlight w:val="none"/>
        </w:rPr>
      </w:pPr>
      <w:r>
        <w:rPr>
          <w:rFonts w:ascii="宋体" w:hAnsi="宋体" w:eastAsia="宋体" w:cs="宋体"/>
          <w:sz w:val="24"/>
          <w:szCs w:val="24"/>
        </w:rPr>
        <w:t>验收标准：按磋商文件、磋商响应文件及澄清函等技术指标进行验收。各项指标均应符合验收标准及要求。</w:t>
      </w:r>
    </w:p>
    <w:p>
      <w:pPr>
        <w:numPr>
          <w:ilvl w:val="0"/>
          <w:numId w:val="2"/>
        </w:numPr>
        <w:spacing w:line="360" w:lineRule="auto"/>
        <w:ind w:left="0" w:leftChars="0" w:firstLine="480" w:firstLineChars="200"/>
        <w:rPr>
          <w:rFonts w:hint="eastAsia" w:ascii="宋体" w:hAnsi="宋体" w:cs="宋体"/>
          <w:color w:val="000000"/>
          <w:sz w:val="24"/>
          <w:highlight w:val="none"/>
        </w:rPr>
      </w:pPr>
      <w:r>
        <w:rPr>
          <w:rFonts w:ascii="宋体" w:hAnsi="宋体" w:eastAsia="宋体" w:cs="宋体"/>
          <w:sz w:val="24"/>
          <w:szCs w:val="24"/>
        </w:rPr>
        <w:t>验收合格后，填写验收单，双方签字生效。</w:t>
      </w:r>
    </w:p>
    <w:p>
      <w:pPr>
        <w:numPr>
          <w:ilvl w:val="0"/>
          <w:numId w:val="2"/>
        </w:numPr>
        <w:spacing w:line="360" w:lineRule="auto"/>
        <w:ind w:left="0" w:leftChars="0" w:firstLine="480" w:firstLineChars="200"/>
        <w:rPr>
          <w:rFonts w:hint="eastAsia" w:ascii="宋体" w:hAnsi="宋体" w:cs="宋体"/>
          <w:color w:val="000000"/>
          <w:sz w:val="24"/>
          <w:highlight w:val="none"/>
        </w:rPr>
      </w:pPr>
      <w:r>
        <w:rPr>
          <w:rFonts w:ascii="宋体" w:hAnsi="宋体" w:eastAsia="宋体" w:cs="宋体"/>
          <w:sz w:val="24"/>
          <w:szCs w:val="24"/>
        </w:rPr>
        <w:t>验收依据：</w:t>
      </w:r>
    </w:p>
    <w:p>
      <w:pPr>
        <w:numPr>
          <w:numId w:val="0"/>
        </w:numPr>
        <w:spacing w:line="360" w:lineRule="auto"/>
        <w:ind w:leftChars="200"/>
        <w:rPr>
          <w:rFonts w:hint="eastAsia" w:ascii="宋体" w:hAnsi="宋体" w:cs="宋体"/>
          <w:color w:val="000000"/>
          <w:sz w:val="24"/>
          <w:highlight w:val="none"/>
        </w:rPr>
      </w:pPr>
      <w:r>
        <w:rPr>
          <w:rFonts w:hint="eastAsia" w:ascii="宋体" w:hAnsi="宋体" w:cs="宋体"/>
          <w:sz w:val="24"/>
          <w:szCs w:val="24"/>
          <w:lang w:val="en-US" w:eastAsia="zh-CN"/>
        </w:rPr>
        <w:t>5.1</w:t>
      </w:r>
      <w:r>
        <w:rPr>
          <w:rFonts w:ascii="宋体" w:hAnsi="宋体" w:eastAsia="宋体" w:cs="宋体"/>
          <w:sz w:val="24"/>
          <w:szCs w:val="24"/>
        </w:rPr>
        <w:t>合同文本；</w:t>
      </w:r>
    </w:p>
    <w:p>
      <w:pPr>
        <w:numPr>
          <w:numId w:val="0"/>
        </w:numPr>
        <w:spacing w:line="360" w:lineRule="auto"/>
        <w:ind w:leftChars="200"/>
        <w:rPr>
          <w:rFonts w:ascii="宋体" w:hAnsi="宋体" w:eastAsia="宋体" w:cs="宋体"/>
          <w:sz w:val="24"/>
          <w:szCs w:val="24"/>
        </w:rPr>
      </w:pPr>
      <w:r>
        <w:rPr>
          <w:rFonts w:hint="eastAsia" w:ascii="宋体" w:hAnsi="宋体" w:cs="宋体"/>
          <w:sz w:val="24"/>
          <w:szCs w:val="24"/>
          <w:lang w:val="en-US" w:eastAsia="zh-CN"/>
        </w:rPr>
        <w:t>5.2</w:t>
      </w:r>
      <w:r>
        <w:rPr>
          <w:rFonts w:ascii="宋体" w:hAnsi="宋体" w:eastAsia="宋体" w:cs="宋体"/>
          <w:sz w:val="24"/>
          <w:szCs w:val="24"/>
        </w:rPr>
        <w:t>磋商响应文件及澄清函、磋商文件；</w:t>
      </w:r>
    </w:p>
    <w:p>
      <w:pPr>
        <w:numPr>
          <w:numId w:val="0"/>
        </w:numPr>
        <w:spacing w:line="360" w:lineRule="auto"/>
        <w:ind w:leftChars="200"/>
        <w:rPr>
          <w:rFonts w:ascii="宋体" w:hAnsi="宋体" w:eastAsia="宋体" w:cs="宋体"/>
          <w:sz w:val="24"/>
          <w:szCs w:val="24"/>
        </w:rPr>
      </w:pPr>
      <w:r>
        <w:rPr>
          <w:rFonts w:hint="eastAsia" w:ascii="宋体" w:hAnsi="宋体" w:cs="宋体"/>
          <w:sz w:val="24"/>
          <w:szCs w:val="24"/>
          <w:lang w:val="en-US" w:eastAsia="zh-CN"/>
        </w:rPr>
        <w:t>5.3</w:t>
      </w:r>
      <w:r>
        <w:rPr>
          <w:rFonts w:ascii="宋体" w:hAnsi="宋体" w:eastAsia="宋体" w:cs="宋体"/>
          <w:sz w:val="24"/>
          <w:szCs w:val="24"/>
        </w:rPr>
        <w:t>国家和行业制定的相应的标准和规范；</w:t>
      </w:r>
    </w:p>
    <w:p>
      <w:pPr>
        <w:numPr>
          <w:numId w:val="0"/>
        </w:numPr>
        <w:spacing w:line="360" w:lineRule="auto"/>
        <w:ind w:leftChars="200"/>
        <w:rPr>
          <w:rFonts w:hint="eastAsia" w:ascii="宋体" w:hAnsi="宋体" w:cs="宋体"/>
          <w:color w:val="000000"/>
          <w:sz w:val="24"/>
          <w:highlight w:val="none"/>
        </w:rPr>
      </w:pPr>
      <w:bookmarkStart w:id="0" w:name="_GoBack"/>
      <w:bookmarkEnd w:id="0"/>
      <w:r>
        <w:rPr>
          <w:rFonts w:hint="eastAsia" w:ascii="宋体" w:hAnsi="宋体" w:cs="宋体"/>
          <w:sz w:val="24"/>
          <w:szCs w:val="24"/>
          <w:lang w:val="en-US" w:eastAsia="zh-CN"/>
        </w:rPr>
        <w:t>5.4</w:t>
      </w:r>
      <w:r>
        <w:rPr>
          <w:rFonts w:ascii="宋体" w:hAnsi="宋体" w:eastAsia="宋体" w:cs="宋体"/>
          <w:sz w:val="24"/>
          <w:szCs w:val="24"/>
        </w:rPr>
        <w:t>产品验收清单（注明品名、数量、规格和原产地或生产厂家）。</w:t>
      </w:r>
    </w:p>
    <w:p>
      <w:pPr>
        <w:spacing w:line="360" w:lineRule="auto"/>
        <w:ind w:firstLine="480" w:firstLineChars="200"/>
        <w:rPr>
          <w:rFonts w:hint="eastAsia" w:ascii="宋体" w:hAnsi="宋体" w:cs="宋体"/>
          <w:color w:val="000000"/>
          <w:sz w:val="24"/>
        </w:rPr>
      </w:pPr>
      <w:r>
        <w:rPr>
          <w:rFonts w:hint="eastAsia" w:ascii="宋体" w:hAnsi="宋体" w:cs="宋体"/>
          <w:color w:val="000000"/>
          <w:sz w:val="24"/>
        </w:rPr>
        <w:t>九、违约责任</w:t>
      </w:r>
    </w:p>
    <w:p>
      <w:pPr>
        <w:spacing w:line="360" w:lineRule="auto"/>
        <w:ind w:firstLine="480" w:firstLineChars="200"/>
        <w:rPr>
          <w:rFonts w:hint="eastAsia" w:ascii="宋体" w:hAnsi="宋体" w:cs="宋体"/>
          <w:color w:val="000000"/>
          <w:sz w:val="24"/>
        </w:rPr>
      </w:pPr>
      <w:r>
        <w:rPr>
          <w:rFonts w:hint="eastAsia" w:ascii="宋体" w:hAnsi="宋体" w:cs="宋体"/>
          <w:color w:val="000000"/>
          <w:sz w:val="24"/>
        </w:rPr>
        <w:t>1、按《</w:t>
      </w:r>
      <w:r>
        <w:rPr>
          <w:rFonts w:hint="eastAsia" w:ascii="宋体" w:hAnsi="宋体" w:cs="宋体"/>
          <w:color w:val="000000"/>
          <w:sz w:val="24"/>
          <w:lang w:val="en-US" w:eastAsia="zh-CN"/>
        </w:rPr>
        <w:t>中华人民共和国民法典</w:t>
      </w:r>
      <w:r>
        <w:rPr>
          <w:rFonts w:hint="eastAsia" w:ascii="宋体" w:hAnsi="宋体" w:cs="宋体"/>
          <w:color w:val="000000"/>
          <w:sz w:val="24"/>
        </w:rPr>
        <w:t>》中的相关条款执行。</w:t>
      </w:r>
    </w:p>
    <w:p>
      <w:pPr>
        <w:spacing w:line="360" w:lineRule="auto"/>
        <w:ind w:firstLine="480" w:firstLineChars="200"/>
        <w:rPr>
          <w:rFonts w:hint="eastAsia" w:ascii="宋体" w:hAnsi="宋体" w:cs="宋体"/>
          <w:color w:val="000000"/>
          <w:sz w:val="24"/>
        </w:rPr>
      </w:pPr>
      <w:r>
        <w:rPr>
          <w:rFonts w:hint="eastAsia" w:ascii="宋体" w:hAnsi="宋体" w:cs="宋体"/>
          <w:color w:val="000000"/>
          <w:sz w:val="24"/>
        </w:rPr>
        <w:t>2、乙方履约延误</w:t>
      </w:r>
    </w:p>
    <w:p>
      <w:pPr>
        <w:spacing w:line="360" w:lineRule="auto"/>
        <w:ind w:firstLine="480" w:firstLineChars="200"/>
        <w:rPr>
          <w:rFonts w:hint="eastAsia" w:ascii="宋体" w:hAnsi="宋体" w:cs="宋体"/>
          <w:color w:val="000000"/>
          <w:sz w:val="24"/>
        </w:rPr>
      </w:pPr>
      <w:r>
        <w:rPr>
          <w:rFonts w:hint="eastAsia" w:ascii="宋体" w:hAnsi="宋体" w:cs="宋体"/>
          <w:color w:val="000000"/>
          <w:sz w:val="24"/>
        </w:rPr>
        <w:t>2.1如乙方事先未征得甲方同意并得到甲方的谅解而单方面延迟交货，将按违约终止合同。</w:t>
      </w:r>
    </w:p>
    <w:p>
      <w:pPr>
        <w:spacing w:line="360" w:lineRule="auto"/>
        <w:ind w:firstLine="480" w:firstLineChars="200"/>
        <w:rPr>
          <w:rFonts w:hint="eastAsia" w:ascii="宋体" w:hAnsi="宋体" w:cs="宋体"/>
          <w:color w:val="000000"/>
          <w:sz w:val="24"/>
        </w:rPr>
      </w:pPr>
      <w:r>
        <w:rPr>
          <w:rFonts w:hint="eastAsia" w:ascii="宋体" w:hAnsi="宋体" w:cs="宋体"/>
          <w:color w:val="000000"/>
          <w:sz w:val="24"/>
        </w:rPr>
        <w:t>2.2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五（5%）。一旦达到误期赔偿费的最高限额，甲方可终止合同。</w:t>
      </w:r>
    </w:p>
    <w:p>
      <w:pPr>
        <w:pStyle w:val="5"/>
        <w:ind w:firstLine="480"/>
        <w:rPr>
          <w:rFonts w:eastAsia="宋体"/>
          <w:color w:val="000000"/>
        </w:rPr>
      </w:pPr>
      <w:r>
        <w:rPr>
          <w:rFonts w:hint="eastAsia" w:ascii="宋体" w:hAnsi="宋体" w:eastAsia="宋体"/>
          <w:color w:val="000000"/>
          <w:sz w:val="24"/>
        </w:rPr>
        <w:t>3、因采购人原因导制变更、中止或者终止政府采购合同的，采购人应当依照合同约定对供应商受到的损失予以赔偿或者补偿。</w:t>
      </w:r>
    </w:p>
    <w:p>
      <w:pPr>
        <w:spacing w:line="360" w:lineRule="auto"/>
        <w:ind w:firstLine="480" w:firstLineChars="200"/>
        <w:rPr>
          <w:rFonts w:hint="eastAsia" w:ascii="宋体" w:hAnsi="宋体" w:cs="宋体"/>
          <w:color w:val="000000"/>
          <w:sz w:val="24"/>
        </w:rPr>
      </w:pPr>
      <w:r>
        <w:rPr>
          <w:rFonts w:hint="eastAsia" w:ascii="宋体" w:hAnsi="宋体" w:cs="宋体"/>
          <w:color w:val="000000"/>
          <w:sz w:val="24"/>
        </w:rPr>
        <w:t>4、违约终止合同：未按合同要求提供货物或质量不能满足技术要求，甲方会同监督机构有权终止合同，对乙方违约行为进行追究，同时按政府采购法的有关规定进行相应的处罚。</w:t>
      </w:r>
    </w:p>
    <w:p>
      <w:pPr>
        <w:spacing w:line="360" w:lineRule="auto"/>
        <w:ind w:firstLine="480" w:firstLineChars="200"/>
        <w:rPr>
          <w:rFonts w:hint="eastAsia" w:ascii="宋体" w:hAnsi="宋体" w:cs="宋体"/>
          <w:color w:val="000000"/>
          <w:sz w:val="24"/>
        </w:rPr>
      </w:pPr>
      <w:r>
        <w:rPr>
          <w:rFonts w:hint="eastAsia" w:ascii="宋体" w:hAnsi="宋体" w:cs="宋体"/>
          <w:color w:val="000000"/>
          <w:sz w:val="24"/>
        </w:rPr>
        <w:t>十、合同组成</w:t>
      </w:r>
    </w:p>
    <w:p>
      <w:pPr>
        <w:spacing w:line="360" w:lineRule="auto"/>
        <w:ind w:firstLine="480" w:firstLineChars="200"/>
        <w:rPr>
          <w:rFonts w:hint="eastAsia" w:ascii="宋体" w:hAnsi="宋体" w:cs="宋体"/>
          <w:color w:val="000000"/>
          <w:sz w:val="24"/>
        </w:rPr>
      </w:pPr>
      <w:r>
        <w:rPr>
          <w:rFonts w:hint="eastAsia" w:ascii="宋体" w:hAnsi="宋体" w:cs="宋体"/>
          <w:color w:val="000000"/>
          <w:sz w:val="24"/>
        </w:rPr>
        <w:t>1、成交通知书</w:t>
      </w:r>
    </w:p>
    <w:p>
      <w:pPr>
        <w:spacing w:line="360" w:lineRule="auto"/>
        <w:ind w:firstLine="480" w:firstLineChars="200"/>
        <w:rPr>
          <w:rFonts w:hint="eastAsia" w:ascii="宋体" w:hAnsi="宋体" w:cs="宋体"/>
          <w:color w:val="000000"/>
          <w:sz w:val="24"/>
        </w:rPr>
      </w:pPr>
      <w:r>
        <w:rPr>
          <w:rFonts w:hint="eastAsia" w:ascii="宋体" w:hAnsi="宋体" w:cs="宋体"/>
          <w:color w:val="000000"/>
          <w:sz w:val="24"/>
        </w:rPr>
        <w:t>2、合同文件</w:t>
      </w:r>
    </w:p>
    <w:p>
      <w:pPr>
        <w:spacing w:line="360" w:lineRule="auto"/>
        <w:ind w:firstLine="480" w:firstLineChars="200"/>
        <w:rPr>
          <w:rFonts w:hint="eastAsia" w:ascii="宋体" w:hAnsi="宋体" w:cs="宋体"/>
          <w:color w:val="000000"/>
          <w:sz w:val="24"/>
        </w:rPr>
      </w:pPr>
      <w:r>
        <w:rPr>
          <w:rFonts w:hint="eastAsia" w:ascii="宋体" w:hAnsi="宋体" w:cs="宋体"/>
          <w:color w:val="000000"/>
          <w:sz w:val="24"/>
        </w:rPr>
        <w:t>3、国家相关规范及标准</w:t>
      </w:r>
    </w:p>
    <w:p>
      <w:pPr>
        <w:spacing w:line="360" w:lineRule="auto"/>
        <w:ind w:firstLine="480" w:firstLineChars="200"/>
        <w:rPr>
          <w:rFonts w:hint="eastAsia" w:ascii="宋体" w:hAnsi="宋体" w:cs="宋体"/>
          <w:color w:val="000000"/>
          <w:sz w:val="24"/>
        </w:rPr>
      </w:pPr>
      <w:r>
        <w:rPr>
          <w:rFonts w:hint="eastAsia" w:ascii="宋体" w:hAnsi="宋体" w:cs="宋体"/>
          <w:color w:val="000000"/>
          <w:sz w:val="24"/>
        </w:rPr>
        <w:t>4、供货产品技术规格及参数表</w:t>
      </w:r>
    </w:p>
    <w:p>
      <w:pPr>
        <w:spacing w:line="360" w:lineRule="auto"/>
        <w:ind w:firstLine="480" w:firstLineChars="200"/>
        <w:rPr>
          <w:rFonts w:hint="eastAsia" w:ascii="宋体" w:hAnsi="宋体" w:cs="宋体"/>
          <w:color w:val="000000"/>
          <w:sz w:val="24"/>
        </w:rPr>
      </w:pPr>
      <w:r>
        <w:rPr>
          <w:rFonts w:hint="eastAsia" w:ascii="宋体" w:hAnsi="宋体" w:cs="宋体"/>
          <w:color w:val="000000"/>
          <w:sz w:val="24"/>
        </w:rPr>
        <w:t>5、磋商文件</w:t>
      </w:r>
    </w:p>
    <w:p>
      <w:pPr>
        <w:spacing w:line="360" w:lineRule="auto"/>
        <w:ind w:firstLine="480" w:firstLineChars="200"/>
        <w:rPr>
          <w:rFonts w:hint="eastAsia" w:ascii="宋体" w:hAnsi="宋体" w:cs="宋体"/>
          <w:color w:val="000000"/>
          <w:sz w:val="24"/>
        </w:rPr>
      </w:pPr>
      <w:r>
        <w:rPr>
          <w:rFonts w:hint="eastAsia" w:ascii="宋体" w:hAnsi="宋体" w:cs="宋体"/>
          <w:color w:val="000000"/>
          <w:sz w:val="24"/>
        </w:rPr>
        <w:t>6、磋商</w:t>
      </w:r>
      <w:r>
        <w:rPr>
          <w:rFonts w:hint="eastAsia" w:ascii="宋体" w:hAnsi="宋体" w:cs="宋体"/>
          <w:color w:val="000000"/>
          <w:sz w:val="24"/>
          <w:lang w:val="en-US" w:eastAsia="zh-CN"/>
        </w:rPr>
        <w:t>响应</w:t>
      </w:r>
      <w:r>
        <w:rPr>
          <w:rFonts w:hint="eastAsia" w:ascii="宋体" w:hAnsi="宋体" w:cs="宋体"/>
          <w:color w:val="000000"/>
          <w:sz w:val="24"/>
        </w:rPr>
        <w:t>文件</w:t>
      </w:r>
    </w:p>
    <w:p>
      <w:pPr>
        <w:spacing w:line="360" w:lineRule="auto"/>
        <w:ind w:firstLine="480" w:firstLineChars="200"/>
        <w:rPr>
          <w:rFonts w:hint="eastAsia" w:ascii="宋体" w:hAnsi="宋体" w:cs="宋体"/>
          <w:color w:val="000000"/>
          <w:sz w:val="24"/>
        </w:rPr>
      </w:pPr>
      <w:r>
        <w:rPr>
          <w:rFonts w:hint="eastAsia" w:ascii="宋体" w:hAnsi="宋体" w:cs="宋体"/>
          <w:color w:val="000000"/>
          <w:sz w:val="24"/>
        </w:rPr>
        <w:t>十一、解决争议的方法</w:t>
      </w:r>
    </w:p>
    <w:p>
      <w:pPr>
        <w:spacing w:line="360" w:lineRule="auto"/>
        <w:ind w:firstLine="480" w:firstLineChars="200"/>
        <w:rPr>
          <w:rFonts w:hint="eastAsia" w:ascii="宋体" w:hAnsi="宋体" w:cs="宋体"/>
          <w:color w:val="000000"/>
          <w:sz w:val="24"/>
        </w:rPr>
      </w:pPr>
      <w:r>
        <w:rPr>
          <w:rFonts w:hint="eastAsia" w:ascii="宋体" w:hAnsi="宋体" w:cs="宋体"/>
          <w:color w:val="000000"/>
          <w:sz w:val="24"/>
        </w:rPr>
        <w:t>凡因本合同引起的或与本合同有关的争议，双方应友好协商解决。协商不成时，双方均同意采用以下第</w:t>
      </w:r>
      <w:r>
        <w:rPr>
          <w:rFonts w:hint="eastAsia" w:ascii="宋体" w:hAnsi="宋体" w:cs="宋体"/>
          <w:color w:val="000000"/>
          <w:sz w:val="24"/>
          <w:lang w:val="en-US" w:eastAsia="zh-CN"/>
        </w:rPr>
        <w:t>2</w:t>
      </w:r>
      <w:r>
        <w:rPr>
          <w:rFonts w:hint="eastAsia" w:ascii="宋体" w:hAnsi="宋体" w:cs="宋体"/>
          <w:color w:val="000000"/>
          <w:sz w:val="24"/>
        </w:rPr>
        <w:t>种争议解决方式：</w:t>
      </w:r>
    </w:p>
    <w:p>
      <w:pPr>
        <w:numPr>
          <w:numId w:val="0"/>
        </w:numPr>
        <w:spacing w:line="360" w:lineRule="auto"/>
        <w:ind w:firstLine="720" w:firstLineChars="300"/>
        <w:rPr>
          <w:rFonts w:hint="eastAsia" w:ascii="宋体" w:hAnsi="宋体" w:cs="宋体"/>
          <w:color w:val="000000"/>
          <w:sz w:val="24"/>
        </w:rPr>
      </w:pPr>
      <w:r>
        <w:rPr>
          <w:rFonts w:hint="eastAsia" w:ascii="宋体" w:hAnsi="宋体" w:cs="宋体"/>
          <w:color w:val="000000"/>
          <w:sz w:val="24"/>
          <w:lang w:val="en-US" w:eastAsia="zh-CN"/>
        </w:rPr>
        <w:t>1、</w:t>
      </w:r>
      <w:r>
        <w:rPr>
          <w:rFonts w:hint="eastAsia" w:ascii="宋体" w:hAnsi="宋体" w:cs="宋体"/>
          <w:color w:val="000000"/>
          <w:sz w:val="24"/>
        </w:rPr>
        <w:t>甲、乙双方均同意向（甲方所在地人民法院）提起诉讼。</w:t>
      </w:r>
    </w:p>
    <w:p>
      <w:pPr>
        <w:numPr>
          <w:numId w:val="0"/>
        </w:numPr>
        <w:spacing w:line="360" w:lineRule="auto"/>
        <w:ind w:firstLine="720" w:firstLineChars="300"/>
        <w:rPr>
          <w:rFonts w:hint="eastAsia" w:ascii="宋体" w:hAnsi="宋体" w:cs="宋体"/>
          <w:color w:val="000000"/>
          <w:sz w:val="24"/>
        </w:rPr>
      </w:pPr>
      <w:r>
        <w:rPr>
          <w:rFonts w:hint="eastAsia" w:ascii="宋体" w:hAnsi="宋体" w:cs="宋体"/>
          <w:color w:val="000000"/>
          <w:sz w:val="24"/>
          <w:lang w:val="en-US" w:eastAsia="zh-CN"/>
        </w:rPr>
        <w:t>2、</w:t>
      </w:r>
      <w:r>
        <w:rPr>
          <w:rFonts w:hint="eastAsia" w:ascii="宋体" w:hAnsi="宋体" w:cs="宋体"/>
          <w:color w:val="000000"/>
          <w:sz w:val="24"/>
        </w:rPr>
        <w:t>甲、乙双方均同意向（仲裁委员会）提起仲裁。</w:t>
      </w:r>
    </w:p>
    <w:p>
      <w:pPr>
        <w:numPr>
          <w:ilvl w:val="0"/>
          <w:numId w:val="3"/>
        </w:numPr>
        <w:spacing w:line="360" w:lineRule="auto"/>
        <w:ind w:firstLine="480" w:firstLineChars="200"/>
        <w:rPr>
          <w:rFonts w:hint="eastAsia" w:ascii="宋体" w:hAnsi="宋体" w:cs="宋体"/>
          <w:color w:val="000000"/>
          <w:sz w:val="24"/>
        </w:rPr>
      </w:pPr>
      <w:r>
        <w:rPr>
          <w:rFonts w:hint="eastAsia" w:ascii="宋体" w:hAnsi="宋体" w:cs="宋体"/>
          <w:color w:val="000000"/>
          <w:sz w:val="24"/>
        </w:rPr>
        <w:t>合同生效及其它</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cs="宋体"/>
          <w:color w:val="000000"/>
          <w:sz w:val="24"/>
          <w:highlight w:val="yellow"/>
        </w:rPr>
      </w:pPr>
      <w:r>
        <w:rPr>
          <w:rFonts w:hint="eastAsia" w:ascii="宋体" w:hAnsi="宋体" w:cs="宋体"/>
          <w:color w:val="000000"/>
          <w:sz w:val="24"/>
          <w:lang w:val="en-US" w:eastAsia="zh-CN"/>
        </w:rPr>
        <w:t>1、</w:t>
      </w:r>
      <w:r>
        <w:rPr>
          <w:rFonts w:hint="eastAsia" w:ascii="宋体" w:hAnsi="宋体" w:cs="宋体"/>
          <w:color w:val="000000"/>
          <w:sz w:val="24"/>
        </w:rPr>
        <w:t>合同未尽事宜、由甲、乙双方协商，作为合同补充，与原合同具有同等法律效力。</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cs="宋体"/>
          <w:color w:val="000000"/>
          <w:sz w:val="24"/>
          <w:highlight w:val="yellow"/>
        </w:rPr>
      </w:pPr>
      <w:r>
        <w:rPr>
          <w:rFonts w:hint="eastAsia" w:ascii="宋体" w:hAnsi="宋体" w:cs="宋体"/>
          <w:color w:val="000000"/>
          <w:sz w:val="24"/>
          <w:lang w:val="en-US" w:eastAsia="zh-CN"/>
        </w:rPr>
        <w:t>2、</w:t>
      </w:r>
      <w:r>
        <w:rPr>
          <w:rFonts w:hint="eastAsia" w:ascii="宋体" w:hAnsi="宋体" w:cs="宋体"/>
          <w:color w:val="000000"/>
          <w:sz w:val="24"/>
        </w:rPr>
        <w:t>本合同一式</w:t>
      </w:r>
      <w:r>
        <w:rPr>
          <w:rFonts w:hint="eastAsia" w:ascii="宋体" w:hAnsi="宋体" w:cs="宋体"/>
          <w:color w:val="000000"/>
          <w:sz w:val="24"/>
          <w:lang w:val="en-US" w:eastAsia="zh-CN"/>
        </w:rPr>
        <w:t>五</w:t>
      </w:r>
      <w:r>
        <w:rPr>
          <w:rFonts w:hint="eastAsia" w:ascii="宋体" w:hAnsi="宋体" w:cs="宋体"/>
          <w:color w:val="000000"/>
          <w:sz w:val="24"/>
        </w:rPr>
        <w:t>份，甲方、乙方双方分别执</w:t>
      </w:r>
      <w:r>
        <w:rPr>
          <w:rFonts w:hint="eastAsia" w:ascii="宋体" w:hAnsi="宋体" w:cs="宋体"/>
          <w:color w:val="000000"/>
          <w:sz w:val="24"/>
          <w:lang w:val="en-US" w:eastAsia="zh-CN"/>
        </w:rPr>
        <w:t>二</w:t>
      </w:r>
      <w:r>
        <w:rPr>
          <w:rFonts w:hint="eastAsia" w:ascii="宋体" w:hAnsi="宋体" w:cs="宋体"/>
          <w:color w:val="000000"/>
          <w:sz w:val="24"/>
        </w:rPr>
        <w:t>份，采购代理机构执</w:t>
      </w:r>
      <w:r>
        <w:rPr>
          <w:rFonts w:hint="eastAsia" w:ascii="宋体" w:hAnsi="宋体" w:cs="宋体"/>
          <w:color w:val="000000"/>
          <w:sz w:val="24"/>
          <w:highlight w:val="none"/>
          <w:lang w:val="en-US" w:eastAsia="zh-CN"/>
        </w:rPr>
        <w:t>一</w:t>
      </w:r>
      <w:r>
        <w:rPr>
          <w:rFonts w:hint="eastAsia" w:ascii="宋体" w:hAnsi="宋体" w:cs="宋体"/>
          <w:color w:val="000000"/>
          <w:sz w:val="24"/>
          <w:highlight w:val="none"/>
        </w:rPr>
        <w:t>份。</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cs="宋体"/>
          <w:color w:val="000000"/>
          <w:sz w:val="24"/>
        </w:rPr>
      </w:pPr>
      <w:r>
        <w:rPr>
          <w:rFonts w:hint="eastAsia" w:ascii="宋体" w:hAnsi="宋体" w:cs="宋体"/>
          <w:color w:val="000000"/>
          <w:sz w:val="24"/>
          <w:lang w:val="en-US" w:eastAsia="zh-CN"/>
        </w:rPr>
        <w:t>3、</w:t>
      </w:r>
      <w:r>
        <w:rPr>
          <w:rFonts w:hint="eastAsia" w:ascii="宋体" w:hAnsi="宋体" w:cs="宋体"/>
          <w:color w:val="000000"/>
          <w:sz w:val="24"/>
        </w:rPr>
        <w:t>合同经甲乙双方盖章、签字后生效，合同签订地点为</w:t>
      </w:r>
      <w:r>
        <w:rPr>
          <w:rFonts w:hint="eastAsia" w:ascii="宋体" w:hAnsi="宋体" w:cs="宋体"/>
          <w:color w:val="000000"/>
          <w:sz w:val="24"/>
          <w:u w:val="single"/>
        </w:rPr>
        <w:t xml:space="preserve">        </w:t>
      </w:r>
      <w:r>
        <w:rPr>
          <w:rFonts w:hint="eastAsia" w:ascii="宋体" w:hAnsi="宋体" w:cs="宋体"/>
          <w:color w:val="000000"/>
          <w:sz w:val="24"/>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cs="宋体"/>
          <w:color w:val="000000"/>
          <w:sz w:val="24"/>
        </w:rPr>
      </w:pPr>
      <w:r>
        <w:rPr>
          <w:rFonts w:hint="eastAsia" w:ascii="宋体" w:hAnsi="宋体" w:cs="宋体"/>
          <w:color w:val="000000"/>
          <w:sz w:val="24"/>
          <w:lang w:val="en-US" w:eastAsia="zh-CN"/>
        </w:rPr>
        <w:t>4、</w:t>
      </w:r>
      <w:r>
        <w:rPr>
          <w:rFonts w:hint="eastAsia" w:ascii="宋体" w:hAnsi="宋体" w:cs="宋体"/>
          <w:color w:val="000000"/>
          <w:sz w:val="24"/>
        </w:rPr>
        <w:t>生效时间：   年  月  日</w:t>
      </w:r>
    </w:p>
    <w:tbl>
      <w:tblPr>
        <w:tblStyle w:val="3"/>
        <w:tblW w:w="0" w:type="auto"/>
        <w:jc w:val="center"/>
        <w:tblLayout w:type="fixed"/>
        <w:tblCellMar>
          <w:top w:w="0" w:type="dxa"/>
          <w:left w:w="108" w:type="dxa"/>
          <w:bottom w:w="0" w:type="dxa"/>
          <w:right w:w="108" w:type="dxa"/>
        </w:tblCellMar>
      </w:tblPr>
      <w:tblGrid>
        <w:gridCol w:w="4770"/>
        <w:gridCol w:w="4770"/>
      </w:tblGrid>
      <w:tr>
        <w:tblPrEx>
          <w:tblCellMar>
            <w:top w:w="0" w:type="dxa"/>
            <w:left w:w="108" w:type="dxa"/>
            <w:bottom w:w="0" w:type="dxa"/>
            <w:right w:w="108" w:type="dxa"/>
          </w:tblCellMar>
        </w:tblPrEx>
        <w:trPr>
          <w:trHeight w:val="4219" w:hRule="atLeast"/>
          <w:jc w:val="center"/>
        </w:trPr>
        <w:tc>
          <w:tcPr>
            <w:tcW w:w="4770" w:type="dxa"/>
            <w:noWrap w:val="0"/>
            <w:vAlign w:val="top"/>
          </w:tcPr>
          <w:p>
            <w:pPr>
              <w:widowControl/>
              <w:autoSpaceDE w:val="0"/>
              <w:autoSpaceDN w:val="0"/>
              <w:snapToGrid w:val="0"/>
              <w:spacing w:line="360" w:lineRule="auto"/>
              <w:ind w:right="-154"/>
              <w:textAlignment w:val="bottom"/>
              <w:rPr>
                <w:rFonts w:hint="eastAsia" w:ascii="宋体" w:hAnsi="宋体" w:cs="宋体"/>
                <w:color w:val="000000"/>
                <w:kern w:val="0"/>
                <w:sz w:val="24"/>
              </w:rPr>
            </w:pPr>
            <w:r>
              <w:rPr>
                <w:rFonts w:hint="eastAsia" w:ascii="宋体" w:hAnsi="宋体" w:cs="宋体"/>
                <w:color w:val="000000"/>
                <w:kern w:val="0"/>
                <w:sz w:val="24"/>
              </w:rPr>
              <w:t>甲方名称</w:t>
            </w:r>
            <w:r>
              <w:rPr>
                <w:rFonts w:hint="eastAsia" w:ascii="宋体" w:hAnsi="宋体" w:cs="宋体"/>
                <w:color w:val="000000"/>
                <w:spacing w:val="-20"/>
                <w:kern w:val="0"/>
                <w:sz w:val="24"/>
              </w:rPr>
              <w:t>（盖章）</w:t>
            </w:r>
            <w:r>
              <w:rPr>
                <w:rFonts w:hint="eastAsia" w:ascii="宋体" w:hAnsi="宋体" w:cs="宋体"/>
                <w:color w:val="000000"/>
                <w:kern w:val="0"/>
                <w:sz w:val="24"/>
              </w:rPr>
              <w:t>:</w:t>
            </w:r>
          </w:p>
          <w:p>
            <w:pPr>
              <w:widowControl/>
              <w:autoSpaceDE w:val="0"/>
              <w:autoSpaceDN w:val="0"/>
              <w:snapToGrid w:val="0"/>
              <w:spacing w:line="360" w:lineRule="auto"/>
              <w:ind w:right="-154"/>
              <w:textAlignment w:val="bottom"/>
              <w:rPr>
                <w:rFonts w:hint="eastAsia" w:ascii="宋体" w:hAnsi="宋体" w:cs="宋体"/>
                <w:color w:val="000000"/>
                <w:kern w:val="0"/>
                <w:sz w:val="24"/>
              </w:rPr>
            </w:pPr>
            <w:r>
              <w:rPr>
                <w:rFonts w:hint="eastAsia" w:ascii="宋体" w:hAnsi="宋体" w:cs="宋体"/>
                <w:color w:val="000000"/>
                <w:kern w:val="0"/>
                <w:sz w:val="24"/>
              </w:rPr>
              <w:t>地址：</w:t>
            </w:r>
          </w:p>
          <w:p>
            <w:pPr>
              <w:widowControl/>
              <w:autoSpaceDE w:val="0"/>
              <w:autoSpaceDN w:val="0"/>
              <w:snapToGrid w:val="0"/>
              <w:spacing w:line="360" w:lineRule="auto"/>
              <w:ind w:right="-154"/>
              <w:textAlignment w:val="bottom"/>
              <w:rPr>
                <w:rFonts w:hint="eastAsia" w:ascii="宋体" w:hAnsi="宋体" w:cs="宋体"/>
                <w:color w:val="000000"/>
                <w:kern w:val="0"/>
                <w:sz w:val="24"/>
              </w:rPr>
            </w:pPr>
            <w:r>
              <w:rPr>
                <w:rFonts w:hint="eastAsia" w:ascii="宋体" w:hAnsi="宋体" w:cs="宋体"/>
                <w:color w:val="000000"/>
                <w:kern w:val="0"/>
                <w:sz w:val="24"/>
              </w:rPr>
              <w:t>代表人（签字或盖章）：</w:t>
            </w:r>
          </w:p>
          <w:p>
            <w:pPr>
              <w:widowControl/>
              <w:autoSpaceDE w:val="0"/>
              <w:autoSpaceDN w:val="0"/>
              <w:snapToGrid w:val="0"/>
              <w:spacing w:line="360" w:lineRule="auto"/>
              <w:ind w:right="-154"/>
              <w:textAlignment w:val="bottom"/>
              <w:rPr>
                <w:rFonts w:hint="eastAsia" w:ascii="宋体" w:hAnsi="宋体" w:cs="宋体"/>
                <w:color w:val="000000"/>
                <w:kern w:val="0"/>
                <w:sz w:val="24"/>
              </w:rPr>
            </w:pPr>
            <w:r>
              <w:rPr>
                <w:rFonts w:hint="eastAsia" w:ascii="宋体" w:hAnsi="宋体" w:cs="宋体"/>
                <w:color w:val="000000"/>
                <w:kern w:val="0"/>
                <w:sz w:val="24"/>
              </w:rPr>
              <w:t>电话：</w:t>
            </w:r>
          </w:p>
          <w:p>
            <w:pPr>
              <w:widowControl/>
              <w:autoSpaceDE w:val="0"/>
              <w:autoSpaceDN w:val="0"/>
              <w:snapToGrid w:val="0"/>
              <w:spacing w:line="360" w:lineRule="auto"/>
              <w:ind w:right="-154"/>
              <w:textAlignment w:val="bottom"/>
              <w:rPr>
                <w:rFonts w:hint="eastAsia" w:ascii="宋体" w:hAnsi="宋体" w:cs="宋体"/>
                <w:color w:val="000000"/>
                <w:kern w:val="0"/>
                <w:sz w:val="24"/>
              </w:rPr>
            </w:pPr>
            <w:r>
              <w:rPr>
                <w:rFonts w:hint="eastAsia" w:ascii="宋体" w:hAnsi="宋体" w:cs="宋体"/>
                <w:color w:val="000000"/>
                <w:kern w:val="0"/>
                <w:sz w:val="24"/>
              </w:rPr>
              <w:t>开户银行：</w:t>
            </w:r>
          </w:p>
          <w:p>
            <w:pPr>
              <w:widowControl/>
              <w:autoSpaceDE w:val="0"/>
              <w:autoSpaceDN w:val="0"/>
              <w:snapToGrid w:val="0"/>
              <w:spacing w:line="360" w:lineRule="auto"/>
              <w:ind w:right="-154"/>
              <w:textAlignment w:val="bottom"/>
              <w:rPr>
                <w:rFonts w:hint="eastAsia" w:ascii="宋体" w:hAnsi="宋体" w:cs="宋体"/>
                <w:color w:val="000000"/>
                <w:kern w:val="0"/>
                <w:sz w:val="24"/>
              </w:rPr>
            </w:pPr>
            <w:r>
              <w:rPr>
                <w:rFonts w:hint="eastAsia" w:ascii="宋体" w:hAnsi="宋体" w:cs="宋体"/>
                <w:color w:val="000000"/>
                <w:kern w:val="0"/>
                <w:sz w:val="24"/>
              </w:rPr>
              <w:t>账号：</w:t>
            </w:r>
          </w:p>
        </w:tc>
        <w:tc>
          <w:tcPr>
            <w:tcW w:w="4770" w:type="dxa"/>
            <w:noWrap w:val="0"/>
            <w:vAlign w:val="top"/>
          </w:tcPr>
          <w:p>
            <w:pPr>
              <w:widowControl/>
              <w:autoSpaceDE w:val="0"/>
              <w:autoSpaceDN w:val="0"/>
              <w:snapToGrid w:val="0"/>
              <w:spacing w:line="360" w:lineRule="auto"/>
              <w:ind w:right="-154"/>
              <w:textAlignment w:val="bottom"/>
              <w:rPr>
                <w:rFonts w:hint="eastAsia" w:ascii="宋体" w:hAnsi="宋体" w:cs="宋体"/>
                <w:color w:val="000000"/>
                <w:kern w:val="0"/>
                <w:sz w:val="24"/>
              </w:rPr>
            </w:pPr>
            <w:r>
              <w:rPr>
                <w:rFonts w:hint="eastAsia" w:ascii="宋体" w:hAnsi="宋体" w:cs="宋体"/>
                <w:color w:val="000000"/>
                <w:kern w:val="0"/>
                <w:sz w:val="24"/>
              </w:rPr>
              <w:t>乙方名称</w:t>
            </w:r>
            <w:r>
              <w:rPr>
                <w:rFonts w:hint="eastAsia" w:ascii="宋体" w:hAnsi="宋体" w:cs="宋体"/>
                <w:color w:val="000000"/>
                <w:spacing w:val="-20"/>
                <w:kern w:val="0"/>
                <w:sz w:val="24"/>
              </w:rPr>
              <w:t>（盖章）</w:t>
            </w:r>
            <w:r>
              <w:rPr>
                <w:rFonts w:hint="eastAsia" w:ascii="宋体" w:hAnsi="宋体" w:cs="宋体"/>
                <w:color w:val="000000"/>
                <w:kern w:val="0"/>
                <w:sz w:val="24"/>
              </w:rPr>
              <w:t>:</w:t>
            </w:r>
          </w:p>
          <w:p>
            <w:pPr>
              <w:widowControl/>
              <w:autoSpaceDE w:val="0"/>
              <w:autoSpaceDN w:val="0"/>
              <w:snapToGrid w:val="0"/>
              <w:spacing w:line="360" w:lineRule="auto"/>
              <w:ind w:right="-154"/>
              <w:textAlignment w:val="bottom"/>
              <w:rPr>
                <w:rFonts w:hint="eastAsia" w:ascii="宋体" w:hAnsi="宋体" w:cs="宋体"/>
                <w:color w:val="000000"/>
                <w:kern w:val="0"/>
                <w:sz w:val="24"/>
              </w:rPr>
            </w:pPr>
            <w:r>
              <w:rPr>
                <w:rFonts w:hint="eastAsia" w:ascii="宋体" w:hAnsi="宋体" w:cs="宋体"/>
                <w:color w:val="000000"/>
                <w:kern w:val="0"/>
                <w:sz w:val="24"/>
              </w:rPr>
              <w:t>地址：</w:t>
            </w:r>
          </w:p>
          <w:p>
            <w:pPr>
              <w:widowControl/>
              <w:autoSpaceDE w:val="0"/>
              <w:autoSpaceDN w:val="0"/>
              <w:snapToGrid w:val="0"/>
              <w:spacing w:line="360" w:lineRule="auto"/>
              <w:ind w:right="-154"/>
              <w:textAlignment w:val="bottom"/>
              <w:rPr>
                <w:rFonts w:hint="eastAsia" w:ascii="宋体" w:hAnsi="宋体" w:cs="宋体"/>
                <w:color w:val="000000"/>
                <w:kern w:val="0"/>
                <w:sz w:val="24"/>
              </w:rPr>
            </w:pPr>
            <w:r>
              <w:rPr>
                <w:rFonts w:hint="eastAsia" w:ascii="宋体" w:hAnsi="宋体" w:cs="宋体"/>
                <w:color w:val="000000"/>
                <w:kern w:val="0"/>
                <w:sz w:val="24"/>
              </w:rPr>
              <w:t>代表人（签字或盖章）：</w:t>
            </w:r>
          </w:p>
          <w:p>
            <w:pPr>
              <w:widowControl/>
              <w:autoSpaceDE w:val="0"/>
              <w:autoSpaceDN w:val="0"/>
              <w:snapToGrid w:val="0"/>
              <w:spacing w:line="360" w:lineRule="auto"/>
              <w:ind w:right="-154"/>
              <w:textAlignment w:val="bottom"/>
              <w:rPr>
                <w:rFonts w:hint="eastAsia" w:ascii="宋体" w:hAnsi="宋体" w:cs="宋体"/>
                <w:color w:val="000000"/>
                <w:kern w:val="0"/>
                <w:sz w:val="24"/>
              </w:rPr>
            </w:pPr>
            <w:r>
              <w:rPr>
                <w:rFonts w:hint="eastAsia" w:ascii="宋体" w:hAnsi="宋体" w:cs="宋体"/>
                <w:color w:val="000000"/>
                <w:kern w:val="0"/>
                <w:sz w:val="24"/>
              </w:rPr>
              <w:t>电话：</w:t>
            </w:r>
          </w:p>
          <w:p>
            <w:pPr>
              <w:widowControl/>
              <w:autoSpaceDE w:val="0"/>
              <w:autoSpaceDN w:val="0"/>
              <w:snapToGrid w:val="0"/>
              <w:spacing w:line="360" w:lineRule="auto"/>
              <w:ind w:right="-154"/>
              <w:textAlignment w:val="bottom"/>
              <w:rPr>
                <w:rFonts w:hint="eastAsia" w:ascii="宋体" w:hAnsi="宋体" w:cs="宋体"/>
                <w:color w:val="000000"/>
                <w:kern w:val="0"/>
                <w:sz w:val="24"/>
              </w:rPr>
            </w:pPr>
            <w:r>
              <w:rPr>
                <w:rFonts w:hint="eastAsia" w:ascii="宋体" w:hAnsi="宋体" w:cs="宋体"/>
                <w:color w:val="000000"/>
                <w:kern w:val="0"/>
                <w:sz w:val="24"/>
              </w:rPr>
              <w:t>开户银行：</w:t>
            </w:r>
          </w:p>
          <w:p>
            <w:pPr>
              <w:widowControl/>
              <w:autoSpaceDE w:val="0"/>
              <w:autoSpaceDN w:val="0"/>
              <w:snapToGrid w:val="0"/>
              <w:spacing w:line="360" w:lineRule="auto"/>
              <w:ind w:right="-154"/>
              <w:textAlignment w:val="bottom"/>
              <w:rPr>
                <w:rFonts w:hint="eastAsia" w:ascii="宋体" w:hAnsi="宋体" w:cs="宋体"/>
                <w:color w:val="000000"/>
                <w:kern w:val="0"/>
                <w:sz w:val="24"/>
              </w:rPr>
            </w:pPr>
            <w:r>
              <w:rPr>
                <w:rFonts w:hint="eastAsia" w:ascii="宋体" w:hAnsi="宋体" w:cs="宋体"/>
                <w:color w:val="000000"/>
                <w:kern w:val="0"/>
                <w:sz w:val="24"/>
              </w:rPr>
              <w:t>账号：</w:t>
            </w:r>
          </w:p>
        </w:tc>
      </w:tr>
      <w:tr>
        <w:tblPrEx>
          <w:tblCellMar>
            <w:top w:w="0" w:type="dxa"/>
            <w:left w:w="108" w:type="dxa"/>
            <w:bottom w:w="0" w:type="dxa"/>
            <w:right w:w="108" w:type="dxa"/>
          </w:tblCellMar>
        </w:tblPrEx>
        <w:trPr>
          <w:trHeight w:val="701" w:hRule="atLeast"/>
          <w:jc w:val="center"/>
        </w:trPr>
        <w:tc>
          <w:tcPr>
            <w:tcW w:w="4770" w:type="dxa"/>
            <w:noWrap w:val="0"/>
            <w:vAlign w:val="top"/>
          </w:tcPr>
          <w:p>
            <w:pPr>
              <w:widowControl/>
              <w:autoSpaceDE w:val="0"/>
              <w:autoSpaceDN w:val="0"/>
              <w:snapToGrid w:val="0"/>
              <w:spacing w:line="360" w:lineRule="auto"/>
              <w:ind w:right="-154"/>
              <w:textAlignment w:val="bottom"/>
              <w:rPr>
                <w:rFonts w:hint="eastAsia" w:ascii="宋体" w:hAnsi="宋体" w:cs="宋体"/>
                <w:color w:val="000000"/>
                <w:kern w:val="0"/>
                <w:sz w:val="24"/>
              </w:rPr>
            </w:pPr>
            <w:r>
              <w:rPr>
                <w:rFonts w:hint="eastAsia" w:ascii="宋体" w:hAnsi="宋体" w:cs="宋体"/>
                <w:color w:val="000000"/>
                <w:sz w:val="24"/>
              </w:rPr>
              <w:t>鉴证方</w:t>
            </w:r>
            <w:r>
              <w:rPr>
                <w:rFonts w:hint="eastAsia" w:ascii="宋体" w:hAnsi="宋体" w:cs="宋体"/>
                <w:color w:val="000000"/>
                <w:spacing w:val="-20"/>
                <w:kern w:val="0"/>
                <w:sz w:val="24"/>
              </w:rPr>
              <w:t>（盖章）</w:t>
            </w:r>
            <w:r>
              <w:rPr>
                <w:rFonts w:hint="eastAsia" w:ascii="宋体" w:hAnsi="宋体" w:cs="宋体"/>
                <w:color w:val="000000"/>
                <w:sz w:val="24"/>
              </w:rPr>
              <w:t>：</w:t>
            </w:r>
          </w:p>
        </w:tc>
        <w:tc>
          <w:tcPr>
            <w:tcW w:w="4770" w:type="dxa"/>
            <w:noWrap w:val="0"/>
            <w:vAlign w:val="top"/>
          </w:tcPr>
          <w:p>
            <w:pPr>
              <w:widowControl/>
              <w:autoSpaceDE w:val="0"/>
              <w:autoSpaceDN w:val="0"/>
              <w:snapToGrid w:val="0"/>
              <w:spacing w:line="360" w:lineRule="auto"/>
              <w:ind w:right="-154"/>
              <w:textAlignment w:val="bottom"/>
              <w:rPr>
                <w:rFonts w:hint="eastAsia" w:ascii="宋体" w:hAnsi="宋体" w:cs="宋体"/>
                <w:color w:val="000000"/>
                <w:kern w:val="0"/>
                <w:sz w:val="24"/>
              </w:rPr>
            </w:pPr>
          </w:p>
        </w:tc>
      </w:tr>
      <w:tr>
        <w:tblPrEx>
          <w:tblCellMar>
            <w:top w:w="0" w:type="dxa"/>
            <w:left w:w="108" w:type="dxa"/>
            <w:bottom w:w="0" w:type="dxa"/>
            <w:right w:w="108" w:type="dxa"/>
          </w:tblCellMar>
        </w:tblPrEx>
        <w:trPr>
          <w:trHeight w:val="701" w:hRule="atLeast"/>
          <w:jc w:val="center"/>
        </w:trPr>
        <w:tc>
          <w:tcPr>
            <w:tcW w:w="4770" w:type="dxa"/>
            <w:noWrap w:val="0"/>
            <w:vAlign w:val="top"/>
          </w:tcPr>
          <w:p>
            <w:pPr>
              <w:widowControl/>
              <w:autoSpaceDE w:val="0"/>
              <w:autoSpaceDN w:val="0"/>
              <w:snapToGrid w:val="0"/>
              <w:spacing w:line="360" w:lineRule="auto"/>
              <w:ind w:right="-154"/>
              <w:textAlignment w:val="bottom"/>
              <w:rPr>
                <w:rFonts w:hint="eastAsia" w:ascii="宋体" w:hAnsi="宋体" w:cs="宋体"/>
                <w:color w:val="000000"/>
                <w:kern w:val="0"/>
                <w:sz w:val="24"/>
              </w:rPr>
            </w:pPr>
            <w:r>
              <w:rPr>
                <w:rFonts w:hint="eastAsia" w:ascii="宋体" w:hAnsi="宋体" w:cs="宋体"/>
                <w:color w:val="000000"/>
                <w:kern w:val="0"/>
                <w:sz w:val="24"/>
              </w:rPr>
              <w:t>地址：</w:t>
            </w:r>
          </w:p>
        </w:tc>
        <w:tc>
          <w:tcPr>
            <w:tcW w:w="4770" w:type="dxa"/>
            <w:noWrap w:val="0"/>
            <w:vAlign w:val="top"/>
          </w:tcPr>
          <w:p>
            <w:pPr>
              <w:widowControl/>
              <w:autoSpaceDE w:val="0"/>
              <w:autoSpaceDN w:val="0"/>
              <w:snapToGrid w:val="0"/>
              <w:spacing w:line="360" w:lineRule="auto"/>
              <w:ind w:right="-154"/>
              <w:textAlignment w:val="bottom"/>
              <w:rPr>
                <w:rFonts w:hint="eastAsia" w:ascii="宋体" w:hAnsi="宋体" w:cs="宋体"/>
                <w:color w:val="000000"/>
                <w:kern w:val="0"/>
                <w:sz w:val="24"/>
              </w:rPr>
            </w:pPr>
          </w:p>
        </w:tc>
      </w:tr>
      <w:tr>
        <w:tblPrEx>
          <w:tblCellMar>
            <w:top w:w="0" w:type="dxa"/>
            <w:left w:w="108" w:type="dxa"/>
            <w:bottom w:w="0" w:type="dxa"/>
            <w:right w:w="108" w:type="dxa"/>
          </w:tblCellMar>
        </w:tblPrEx>
        <w:trPr>
          <w:trHeight w:val="701" w:hRule="atLeast"/>
          <w:jc w:val="center"/>
        </w:trPr>
        <w:tc>
          <w:tcPr>
            <w:tcW w:w="4770" w:type="dxa"/>
            <w:noWrap w:val="0"/>
            <w:vAlign w:val="top"/>
          </w:tcPr>
          <w:p>
            <w:pPr>
              <w:widowControl/>
              <w:autoSpaceDE w:val="0"/>
              <w:autoSpaceDN w:val="0"/>
              <w:snapToGrid w:val="0"/>
              <w:spacing w:line="360" w:lineRule="auto"/>
              <w:ind w:right="-154"/>
              <w:textAlignment w:val="bottom"/>
              <w:rPr>
                <w:rFonts w:hint="eastAsia" w:ascii="宋体" w:hAnsi="宋体" w:cs="宋体"/>
                <w:color w:val="000000"/>
                <w:kern w:val="0"/>
                <w:sz w:val="24"/>
              </w:rPr>
            </w:pPr>
            <w:r>
              <w:rPr>
                <w:rFonts w:hint="eastAsia" w:ascii="宋体" w:hAnsi="宋体" w:cs="宋体"/>
                <w:color w:val="000000"/>
                <w:kern w:val="0"/>
                <w:sz w:val="24"/>
              </w:rPr>
              <w:t>代表人（签字或盖章）：</w:t>
            </w:r>
          </w:p>
        </w:tc>
        <w:tc>
          <w:tcPr>
            <w:tcW w:w="4770" w:type="dxa"/>
            <w:noWrap w:val="0"/>
            <w:vAlign w:val="top"/>
          </w:tcPr>
          <w:p>
            <w:pPr>
              <w:widowControl/>
              <w:autoSpaceDE w:val="0"/>
              <w:autoSpaceDN w:val="0"/>
              <w:snapToGrid w:val="0"/>
              <w:spacing w:line="360" w:lineRule="auto"/>
              <w:ind w:right="-154"/>
              <w:textAlignment w:val="bottom"/>
              <w:rPr>
                <w:rFonts w:hint="eastAsia" w:ascii="宋体" w:hAnsi="宋体" w:cs="宋体"/>
                <w:color w:val="000000"/>
                <w:kern w:val="0"/>
                <w:sz w:val="24"/>
              </w:rPr>
            </w:pPr>
          </w:p>
        </w:tc>
      </w:tr>
      <w:tr>
        <w:tblPrEx>
          <w:tblCellMar>
            <w:top w:w="0" w:type="dxa"/>
            <w:left w:w="108" w:type="dxa"/>
            <w:bottom w:w="0" w:type="dxa"/>
            <w:right w:w="108" w:type="dxa"/>
          </w:tblCellMar>
        </w:tblPrEx>
        <w:trPr>
          <w:trHeight w:val="701" w:hRule="atLeast"/>
          <w:jc w:val="center"/>
        </w:trPr>
        <w:tc>
          <w:tcPr>
            <w:tcW w:w="4770" w:type="dxa"/>
            <w:noWrap w:val="0"/>
            <w:vAlign w:val="top"/>
          </w:tcPr>
          <w:p>
            <w:pPr>
              <w:widowControl/>
              <w:autoSpaceDE w:val="0"/>
              <w:autoSpaceDN w:val="0"/>
              <w:snapToGrid w:val="0"/>
              <w:spacing w:line="360" w:lineRule="auto"/>
              <w:ind w:right="-154"/>
              <w:textAlignment w:val="bottom"/>
              <w:rPr>
                <w:rFonts w:hint="eastAsia" w:ascii="宋体" w:hAnsi="宋体" w:cs="宋体"/>
                <w:color w:val="000000"/>
                <w:kern w:val="0"/>
                <w:sz w:val="24"/>
              </w:rPr>
            </w:pPr>
            <w:r>
              <w:rPr>
                <w:rFonts w:hint="eastAsia" w:ascii="宋体" w:hAnsi="宋体" w:cs="宋体"/>
                <w:color w:val="000000"/>
                <w:kern w:val="0"/>
                <w:sz w:val="24"/>
              </w:rPr>
              <w:t>电话：</w:t>
            </w:r>
          </w:p>
        </w:tc>
        <w:tc>
          <w:tcPr>
            <w:tcW w:w="4770" w:type="dxa"/>
            <w:noWrap w:val="0"/>
            <w:vAlign w:val="top"/>
          </w:tcPr>
          <w:p>
            <w:pPr>
              <w:widowControl/>
              <w:autoSpaceDE w:val="0"/>
              <w:autoSpaceDN w:val="0"/>
              <w:snapToGrid w:val="0"/>
              <w:spacing w:line="360" w:lineRule="auto"/>
              <w:ind w:right="-154"/>
              <w:textAlignment w:val="bottom"/>
              <w:rPr>
                <w:rFonts w:hint="eastAsia" w:ascii="宋体" w:hAnsi="宋体" w:cs="宋体"/>
                <w:color w:val="000000"/>
                <w:kern w:val="0"/>
                <w:sz w:val="24"/>
              </w:rPr>
            </w:pPr>
          </w:p>
        </w:tc>
      </w:tr>
      <w:tr>
        <w:tblPrEx>
          <w:tblCellMar>
            <w:top w:w="0" w:type="dxa"/>
            <w:left w:w="108" w:type="dxa"/>
            <w:bottom w:w="0" w:type="dxa"/>
            <w:right w:w="108" w:type="dxa"/>
          </w:tblCellMar>
        </w:tblPrEx>
        <w:trPr>
          <w:trHeight w:val="701" w:hRule="atLeast"/>
          <w:jc w:val="center"/>
        </w:trPr>
        <w:tc>
          <w:tcPr>
            <w:tcW w:w="4770" w:type="dxa"/>
            <w:noWrap w:val="0"/>
            <w:vAlign w:val="top"/>
          </w:tcPr>
          <w:p>
            <w:pPr>
              <w:widowControl/>
              <w:autoSpaceDE w:val="0"/>
              <w:autoSpaceDN w:val="0"/>
              <w:snapToGrid w:val="0"/>
              <w:spacing w:line="360" w:lineRule="auto"/>
              <w:ind w:right="-154"/>
              <w:textAlignment w:val="bottom"/>
              <w:rPr>
                <w:rFonts w:hint="eastAsia" w:ascii="宋体" w:hAnsi="宋体" w:cs="宋体"/>
                <w:color w:val="000000"/>
                <w:kern w:val="0"/>
                <w:sz w:val="24"/>
              </w:rPr>
            </w:pPr>
            <w:r>
              <w:rPr>
                <w:rFonts w:hint="eastAsia" w:ascii="宋体" w:hAnsi="宋体" w:cs="宋体"/>
                <w:color w:val="000000"/>
                <w:kern w:val="0"/>
                <w:sz w:val="24"/>
              </w:rPr>
              <w:t>开户银行：</w:t>
            </w:r>
          </w:p>
        </w:tc>
        <w:tc>
          <w:tcPr>
            <w:tcW w:w="4770" w:type="dxa"/>
            <w:noWrap w:val="0"/>
            <w:vAlign w:val="top"/>
          </w:tcPr>
          <w:p>
            <w:pPr>
              <w:widowControl/>
              <w:autoSpaceDE w:val="0"/>
              <w:autoSpaceDN w:val="0"/>
              <w:snapToGrid w:val="0"/>
              <w:spacing w:line="360" w:lineRule="auto"/>
              <w:ind w:right="-154"/>
              <w:textAlignment w:val="bottom"/>
              <w:rPr>
                <w:rFonts w:hint="eastAsia" w:ascii="宋体" w:hAnsi="宋体" w:cs="宋体"/>
                <w:color w:val="000000"/>
                <w:kern w:val="0"/>
                <w:sz w:val="24"/>
              </w:rPr>
            </w:pPr>
          </w:p>
        </w:tc>
      </w:tr>
    </w:tbl>
    <w:p/>
    <w:sectPr>
      <w:pgSz w:w="11906" w:h="16838"/>
      <w:pgMar w:top="1417" w:right="1417" w:bottom="1417" w:left="141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790E8C"/>
    <w:multiLevelType w:val="singleLevel"/>
    <w:tmpl w:val="93790E8C"/>
    <w:lvl w:ilvl="0" w:tentative="0">
      <w:start w:val="12"/>
      <w:numFmt w:val="chineseCounting"/>
      <w:suff w:val="nothing"/>
      <w:lvlText w:val="%1、"/>
      <w:lvlJc w:val="left"/>
      <w:rPr>
        <w:rFonts w:hint="eastAsia"/>
      </w:rPr>
    </w:lvl>
  </w:abstractNum>
  <w:abstractNum w:abstractNumId="1">
    <w:nsid w:val="AC7F65A7"/>
    <w:multiLevelType w:val="singleLevel"/>
    <w:tmpl w:val="AC7F65A7"/>
    <w:lvl w:ilvl="0" w:tentative="0">
      <w:start w:val="1"/>
      <w:numFmt w:val="decimal"/>
      <w:lvlText w:val="%1."/>
      <w:lvlJc w:val="left"/>
      <w:pPr>
        <w:tabs>
          <w:tab w:val="left" w:pos="312"/>
        </w:tabs>
      </w:pPr>
    </w:lvl>
  </w:abstractNum>
  <w:abstractNum w:abstractNumId="2">
    <w:nsid w:val="609A3B31"/>
    <w:multiLevelType w:val="singleLevel"/>
    <w:tmpl w:val="609A3B31"/>
    <w:lvl w:ilvl="0" w:tentative="0">
      <w:start w:val="8"/>
      <w:numFmt w:val="chineseCounting"/>
      <w:suff w:val="nothing"/>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BjYzFmMWQzOTQxOWZlZWZlNGU0MzAyNTQzODJmZWMifQ=="/>
  </w:docVars>
  <w:rsids>
    <w:rsidRoot w:val="77F50E99"/>
    <w:rsid w:val="054F723D"/>
    <w:rsid w:val="6EBF5908"/>
    <w:rsid w:val="77F50E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autoRedefine/>
    <w:qFormat/>
    <w:uiPriority w:val="0"/>
    <w:rPr>
      <w:color w:val="993300"/>
      <w:sz w:val="24"/>
    </w:rPr>
  </w:style>
  <w:style w:type="paragraph" w:customStyle="1" w:styleId="5">
    <w:name w:val="样式 仿宋_GB2312 四号 行距: 1.5 倍行距"/>
    <w:basedOn w:val="1"/>
    <w:qFormat/>
    <w:uiPriority w:val="0"/>
    <w:pPr>
      <w:spacing w:line="360" w:lineRule="auto"/>
      <w:ind w:firstLine="560" w:firstLineChars="200"/>
    </w:pPr>
    <w:rPr>
      <w:rFonts w:ascii="仿宋_GB2312" w:eastAsia="仿宋_GB2312" w:cs="宋体"/>
      <w:sz w:val="28"/>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45</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2023-12-13T06:49:00Z</dcterms:created>
  <dc:creator>王天鹏</dc:creator>
  <cp:lastModifiedBy>王天鹏</cp:lastModifiedBy>
  <dcterms:modified xsi:type="dcterms:W3CDTF">2024-01-10T07:10:49Z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F148099E969C456CBE5F493FEE7BB60C_11</vt:lpwstr>
  </property>
</Properties>
</file>