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版本号：241218002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西安市新城区市人民体育场空气监测站站房和空气监测设备项目</w:t>
      </w:r>
    </w:p>
    <w:p>
      <w:pPr>
        <w:pStyle w:val="null3"/>
        <w:jc w:val="center"/>
        <w:outlineLvl w:val="2"/>
      </w:pPr>
      <w:r>
        <w:rPr>
          <w:sz w:val="28"/>
          <w:b/>
        </w:rPr>
        <w:t>采购项目编号：</w:t>
      </w:r>
      <w:r>
        <w:rPr>
          <w:sz w:val="28"/>
          <w:b/>
        </w:rPr>
        <w:t>2024-HXCT-387</w:t>
      </w:r>
      <w:r>
        <w:br/>
      </w:r>
      <w:r>
        <w:br/>
      </w:r>
      <w:r>
        <w:br/>
      </w:r>
    </w:p>
    <w:p>
      <w:pPr>
        <w:pStyle w:val="null3"/>
        <w:jc w:val="center"/>
        <w:outlineLvl w:val="2"/>
      </w:pPr>
      <w:r>
        <w:rPr>
          <w:sz w:val="28"/>
          <w:b/>
        </w:rPr>
        <w:t>西安市新城区西一路街道办事处</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华夏城投项目管理有限公司</w:t>
      </w:r>
      <w:r>
        <w:rPr/>
        <w:t>（以下简称“代理机构”）受</w:t>
      </w:r>
      <w:r>
        <w:rPr/>
        <w:t>西安市新城区西一路街道办事处</w:t>
      </w:r>
      <w:r>
        <w:rPr/>
        <w:t>委托，拟对</w:t>
      </w:r>
      <w:r>
        <w:rPr/>
        <w:t>西安市新城区市人民体育场空气监测站站房和空气监测设备项目</w:t>
      </w:r>
      <w:r>
        <w:rPr/>
        <w:t>采用竞争性磋商采购方式进行采购，兹邀请供应商参加本项目的竞争性磋商。</w:t>
      </w:r>
    </w:p>
    <w:p>
      <w:pPr>
        <w:pStyle w:val="null3"/>
        <w:outlineLvl w:val="2"/>
      </w:pPr>
      <w:r>
        <w:rPr>
          <w:sz w:val="28"/>
          <w:b/>
        </w:rPr>
        <w:t>一、项目编号：</w:t>
      </w:r>
      <w:r>
        <w:rPr>
          <w:sz w:val="28"/>
          <w:b/>
        </w:rPr>
        <w:t>2024-HXCT-387</w:t>
      </w:r>
    </w:p>
    <w:p>
      <w:pPr>
        <w:pStyle w:val="null3"/>
        <w:outlineLvl w:val="2"/>
      </w:pPr>
      <w:r>
        <w:rPr>
          <w:sz w:val="28"/>
          <w:b/>
        </w:rPr>
        <w:t>二、项目名称：</w:t>
      </w:r>
      <w:r>
        <w:rPr>
          <w:sz w:val="28"/>
          <w:b/>
        </w:rPr>
        <w:t>西安市新城区市人民体育场空气监测站站房和空气监测设备项目</w:t>
      </w:r>
    </w:p>
    <w:p>
      <w:pPr>
        <w:pStyle w:val="null3"/>
        <w:outlineLvl w:val="2"/>
      </w:pPr>
      <w:r>
        <w:rPr>
          <w:sz w:val="28"/>
          <w:b/>
        </w:rPr>
        <w:t>三、磋商项目简介</w:t>
      </w:r>
    </w:p>
    <w:p>
      <w:pPr>
        <w:pStyle w:val="null3"/>
        <w:ind w:firstLine="480"/>
      </w:pPr>
      <w:r>
        <w:rPr/>
        <w:t>西安市新城区市人民体育场空气监测站站房和空气监测设备项目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2、社保证明：提供投标截止时间前六个月内至少一个月的社会保障资金缴存单据或社保机构开具的社会保险参保缴费情况证明，依法不需要缴纳社会保障资金的单位应提供相关证明材料。</w:t>
      </w:r>
    </w:p>
    <w:p>
      <w:pPr>
        <w:pStyle w:val="null3"/>
      </w:pPr>
      <w:r>
        <w:rPr/>
        <w:t>3、纳税证明：提供投标截止时间前六个月内至少一个月已缴纳的任意税种的凭据；其他组织和自然人提供投标文件截止时间前六个月内至少一个月缴纳税收的凭据，依法免税的应提供相关文件证明。</w:t>
      </w:r>
    </w:p>
    <w:p>
      <w:pPr>
        <w:pStyle w:val="null3"/>
      </w:pPr>
      <w:r>
        <w:rPr/>
        <w:t>4、三年无违法声明：参加政府采购活动前3年内，在经营活动中没有重大违法记录的书面声明。</w:t>
      </w:r>
    </w:p>
    <w:p>
      <w:pPr>
        <w:pStyle w:val="null3"/>
      </w:pPr>
      <w:r>
        <w:rPr/>
        <w:t>5、履约能力声明：具备履行合同所必需的设备和专业技术能力的证明材料(由供应商根据项目需求提供说明材料或者承诺)。</w:t>
      </w:r>
    </w:p>
    <w:p>
      <w:pPr>
        <w:pStyle w:val="null3"/>
      </w:pPr>
      <w:r>
        <w:rPr/>
        <w:t>6、身份证明：法定代表人直接参加投标的，须提供法定代表人身份证明；法定代表人授权代表参加投标的，须提供法定代表人授权委托书。</w:t>
      </w:r>
    </w:p>
    <w:p>
      <w:pPr>
        <w:pStyle w:val="null3"/>
      </w:pPr>
      <w:r>
        <w:rPr/>
        <w:t>7、非联合体声明：本项目不接受联合体投标。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西安市新城区西一路街道办事处</w:t>
      </w:r>
    </w:p>
    <w:p>
      <w:pPr>
        <w:pStyle w:val="null3"/>
      </w:pPr>
      <w:r>
        <w:rPr/>
        <w:t xml:space="preserve"> 地址： </w:t>
      </w:r>
      <w:r>
        <w:rPr/>
        <w:t>西安市新城区西一路148号</w:t>
      </w:r>
    </w:p>
    <w:p>
      <w:pPr>
        <w:pStyle w:val="null3"/>
      </w:pPr>
      <w:r>
        <w:rPr/>
        <w:t xml:space="preserve"> 邮编： </w:t>
      </w:r>
      <w:r>
        <w:rPr/>
        <w:t>/</w:t>
      </w:r>
    </w:p>
    <w:p>
      <w:pPr>
        <w:pStyle w:val="null3"/>
      </w:pPr>
      <w:r>
        <w:rPr/>
        <w:t xml:space="preserve"> 联系人： </w:t>
      </w:r>
      <w:r>
        <w:rPr/>
        <w:t>徐老师</w:t>
      </w:r>
    </w:p>
    <w:p>
      <w:pPr>
        <w:pStyle w:val="null3"/>
      </w:pPr>
      <w:r>
        <w:rPr/>
        <w:t xml:space="preserve"> 联系电话： </w:t>
      </w:r>
      <w:r>
        <w:rPr/>
        <w:t>/</w:t>
      </w:r>
    </w:p>
    <w:p>
      <w:pPr>
        <w:pStyle w:val="null3"/>
        <w:outlineLvl w:val="3"/>
      </w:pPr>
      <w:r>
        <w:rPr>
          <w:sz w:val="24"/>
          <w:b/>
        </w:rPr>
        <w:t>代理机构：</w:t>
      </w:r>
      <w:r>
        <w:rPr>
          <w:sz w:val="24"/>
          <w:b/>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710000</w:t>
      </w:r>
    </w:p>
    <w:p>
      <w:pPr>
        <w:pStyle w:val="null3"/>
      </w:pPr>
      <w:r>
        <w:rPr/>
        <w:t xml:space="preserve"> 联系人： </w:t>
      </w:r>
      <w:r>
        <w:rPr/>
        <w:t>陈工</w:t>
      </w:r>
    </w:p>
    <w:p>
      <w:pPr>
        <w:pStyle w:val="null3"/>
      </w:pPr>
      <w:r>
        <w:rPr/>
        <w:t xml:space="preserve"> 联系电话： </w:t>
      </w:r>
      <w:r>
        <w:rPr/>
        <w:t>17602939819</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代理服务费收费标准：参照《国家发展改革委关于进一步放开建设项目专业服务价格的通知》（发改价格〔2015〕299号）的有关规定执行。 各中标单位在领取中标通知书前，须向采购代理机构一次性支付采购代理服务费。 开户名称： 华夏城投项目管理有限公司 开户银行： 中国工商银行股份有限公司延安南关支行 银行账号： 2609 0803 0902 4803 489 （备注：项目名称包号代理服务费）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西安市新城区西一路街道办事处</w:t>
      </w:r>
      <w:r>
        <w:rPr/>
        <w:t>和</w:t>
      </w:r>
      <w:r>
        <w:rPr/>
        <w:t>华夏城投项目管理有限公司</w:t>
      </w:r>
      <w:r>
        <w:rPr/>
        <w:t>享有。对磋商文件中供应商参加本次政府采购活动应当具备的条件，磋商项目技术、服务、商务及其他要求，评审细则及标准由</w:t>
      </w:r>
      <w:r>
        <w:rPr/>
        <w:t>西安市新城区西一路街道办事处</w:t>
      </w:r>
      <w:r>
        <w:rPr/>
        <w:t>负责解释。除上述磋商文件内容，其他内容由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华夏城投项目管理有限公司</w:t>
      </w:r>
      <w:r>
        <w:rPr/>
        <w:t xml:space="preserve"> 负责答复；供应商对采购过程的询问、质疑由</w:t>
      </w:r>
      <w:r>
        <w:rPr/>
        <w:t>华夏城投项目管理有限公司</w:t>
      </w:r>
      <w:r>
        <w:rPr/>
        <w:t xml:space="preserve"> 负责答复；供应商对采购结果的询问、质疑由 </w:t>
      </w:r>
      <w:r>
        <w:rPr/>
        <w:t>华夏城投项目管理有限公司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联系人：陈工</w:t>
      </w:r>
    </w:p>
    <w:p>
      <w:pPr>
        <w:pStyle w:val="null3"/>
      </w:pPr>
      <w:r>
        <w:rPr/>
        <w:t>联系电话：17602939819</w:t>
      </w:r>
    </w:p>
    <w:p>
      <w:pPr>
        <w:pStyle w:val="null3"/>
      </w:pPr>
      <w:r>
        <w:rPr/>
        <w:t>地址：陕西省西安市未央区西安经济技术开发区凤城七路长和国际D座26层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西安市新城区市人民体育场空气监测站站房和空气监测设备项目</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市人民体育场空气监测站站房和空气监测设备</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标的名称：市人民体育场空气监测站站房和空气监测设备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9"/>
              <w:gridCol w:w="81"/>
              <w:gridCol w:w="220"/>
              <w:gridCol w:w="1878"/>
              <w:gridCol w:w="89"/>
              <w:gridCol w:w="89"/>
              <w:gridCol w:w="89"/>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名称</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品类</w:t>
                  </w:r>
                </w:p>
              </w:tc>
              <w:tc>
                <w:tcPr>
                  <w:tcW w:type="dxa" w:w="1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技术参数</w:t>
                  </w:r>
                </w:p>
              </w:tc>
              <w:tc>
                <w:tcPr>
                  <w:tcW w:type="dxa" w:w="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备注</w:t>
                  </w:r>
                </w:p>
              </w:tc>
            </w:tr>
            <w:tr>
              <w:tc>
                <w:tcPr>
                  <w:tcW w:type="dxa" w:w="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宋体" w:hAnsi="宋体" w:cs="宋体" w:eastAsia="宋体"/>
                      <w:sz w:val="21"/>
                      <w:color w:val="000000"/>
                    </w:rPr>
                    <w:t>站房主体</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智慧站房框架</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站房外部尺寸：大于等于</w:t>
                  </w:r>
                  <w:r>
                    <w:rPr>
                      <w:rFonts w:ascii="宋体" w:hAnsi="宋体" w:cs="宋体" w:eastAsia="宋体"/>
                      <w:sz w:val="21"/>
                      <w:color w:val="000000"/>
                    </w:rPr>
                    <w:t>7000mm（长）*3300mm（宽），站房应设置缓冲间，并保持常闭状态，防止灰尘和泥土带入监测设备间，智慧站房设置内置楼梯，有效避免人为外来进入站房采样平台进行作业干扰；</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站房温湿度传感器</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实时监视和记录站房内外温、湿度动态。</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空调远程控制自启</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配备两台</w:t>
                  </w:r>
                  <w:r>
                    <w:rPr>
                      <w:rFonts w:ascii="宋体" w:hAnsi="宋体" w:cs="宋体" w:eastAsia="宋体"/>
                      <w:sz w:val="21"/>
                      <w:color w:val="000000"/>
                    </w:rPr>
                    <w:t>1.5P空调；站房内配置温、湿度传感器，远程可进行站房内外温、湿度动态监视和控制；配备空调控制器可远程进行冷热切换和温度控制。</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烟雾、水浸传感器</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具备远程自动检测烟雾火警的报警功能；具备远程自动检测水浸的报警功能。站房内机柜顶部或站房底部宜安装水浸传感报警装置，在站房顶部漏雨时可产生报警。</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电力感知及控制</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站房可远程对监测站的供电电压、电流及功率等进行实时跟踪，确保站房设备安全和稳定运行。</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照明远程控制</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站房内照明设施具备远程智能控制能力。</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摄像头、门禁人脸识别</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站房内、外部要安装必要的监控设施。站房内部设备间至少安装</w:t>
                  </w:r>
                  <w:r>
                    <w:rPr>
                      <w:rFonts w:ascii="宋体" w:hAnsi="宋体" w:cs="宋体" w:eastAsia="宋体"/>
                      <w:sz w:val="21"/>
                      <w:color w:val="000000"/>
                    </w:rPr>
                    <w:t>2台摄像头，可以覆盖监测仪器并对门口人员进行监测。采样平台应至少安装1台摄像头，能够实时获取监控区域内清晰的监控图像；安装人脸识别门禁系统，可存储开关门记录、远程开门、人脸识别开门等动作。</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站房工艺和电力、安防要求</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站房应设置必要的防盗措施，安装防盗门；站房有防水、防潮、隔热和保温措施，站房内底部应离地表（或建筑房顶）有</w:t>
                  </w:r>
                  <w:r>
                    <w:rPr>
                      <w:rFonts w:ascii="宋体" w:hAnsi="宋体" w:cs="宋体" w:eastAsia="宋体"/>
                      <w:sz w:val="21"/>
                      <w:color w:val="000000"/>
                    </w:rPr>
                    <w:t>25cm以上的距离，站房内底部应具有防滑、阻燃设计；需具备人员行为自动跟踪分析能力，对人员操作规范性、异常入侵、人为干扰等进行自动诊断并进行数据、证据留痕。</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站房运行环境异常智能识别</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需对站房内环境温度、湿度进行监控，环境温湿度超出设定范围及时报警并进行温度自动调节；并对电力系统实时监测，电压电流波动异常情况自动报警并进行保护。</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站房自动设备异常智能识别</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符合</w:t>
                  </w:r>
                  <w:r>
                    <w:rPr>
                      <w:rFonts w:ascii="宋体" w:hAnsi="宋体" w:cs="宋体" w:eastAsia="宋体"/>
                      <w:sz w:val="21"/>
                      <w:color w:val="000000"/>
                    </w:rPr>
                    <w:t>HJ817、HJ818等相关标准规定的系统运行和质控技术规范；需能对仪器、设备运行情况和仪器精度进行自动跟踪和判断，并对系统运行的状态进行自动诊断，对异常状态实现智能识别和预警、留痕。</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其他要求</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1、站房内应设置气态监测仪器废气排出装置，气态监测仪器排气口连接到废气排出装置；站房内应安装排风扇，排风扇宜具备远程控制功能；</w:t>
                  </w:r>
                  <w:r>
                    <w:br/>
                  </w:r>
                  <w:r>
                    <w:rPr>
                      <w:rFonts w:ascii="宋体" w:hAnsi="宋体" w:cs="宋体" w:eastAsia="宋体"/>
                      <w:sz w:val="21"/>
                      <w:color w:val="000000"/>
                    </w:rPr>
                    <w:t>2、自动监测设备安装在机柜（架）内，机柜（架）应稳定、牢固、可靠、不易倾倒；机柜（架）与一侧墙壁之间的距离不宜小于1m，便于运维人员在机柜（架）侧面、后面开展运维工作。为确保站房内标气使用安全,应在站房内合理位置安装标气瓶固定装置；站房宜安装标气钢瓶压力检测传感器，实时监控标气钢瓶气压力;站房宜安装标气泄露检测装置，装置检测到标气发生泄露时触发报警，并与排风扇联动，排风扇能及时排出有害气体；</w:t>
                  </w:r>
                  <w:r>
                    <w:br/>
                  </w:r>
                  <w:r>
                    <w:rPr>
                      <w:rFonts w:ascii="宋体" w:hAnsi="宋体" w:cs="宋体" w:eastAsia="宋体"/>
                      <w:sz w:val="21"/>
                      <w:color w:val="000000"/>
                    </w:rPr>
                    <w:t>3、站房房顶按照技术规范要求应配备气态采样总管、PM2.5采样管和PM10采样管安装孔各1个，并预留颗粒物比对采样管安装孔1-2个；采样管安装孔应保持在1.2m距离以上；采样管安装孔与站房顶部连接部分要密封防水，宜使用法兰连接；</w:t>
                  </w:r>
                  <w:r>
                    <w:br/>
                  </w:r>
                  <w:r>
                    <w:rPr>
                      <w:rFonts w:ascii="宋体" w:hAnsi="宋体" w:cs="宋体" w:eastAsia="宋体"/>
                      <w:sz w:val="21"/>
                      <w:color w:val="000000"/>
                    </w:rPr>
                    <w:t>4、气态污染物采样总管、PM2.5采样管和PM10采样管具备自动加热功能，加热温度可设定；采样总管内部具备温、湿度采集和流量采集、加热功率采集等远程控制功能；</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宋体" w:hAnsi="宋体" w:cs="宋体" w:eastAsia="宋体"/>
                      <w:sz w:val="21"/>
                      <w:color w:val="000000"/>
                    </w:rPr>
                    <w:t>智能运维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管路监控及自诊断</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1、在站房内部所有气路安装传感器进行气路的运行动态实时跟踪，并具备管路泄露、堵塞等自诊断功能，用于远程质控和防人为干扰；</w:t>
                  </w:r>
                  <w:r>
                    <w:br/>
                  </w:r>
                  <w:r>
                    <w:rPr>
                      <w:rFonts w:ascii="宋体" w:hAnsi="宋体" w:cs="宋体" w:eastAsia="宋体"/>
                      <w:sz w:val="21"/>
                      <w:color w:val="000000"/>
                    </w:rPr>
                    <w:t>2、支持设备状态数据自动获取，实时监测数据生成全过程采集、全周期监控。</w:t>
                  </w:r>
                  <w:r>
                    <w:br/>
                  </w:r>
                  <w:r>
                    <w:rPr>
                      <w:rFonts w:ascii="宋体" w:hAnsi="宋体" w:cs="宋体" w:eastAsia="宋体"/>
                      <w:sz w:val="21"/>
                      <w:color w:val="000000"/>
                    </w:rPr>
                    <w:t>3、进气总管配备传感器，实现流量在线实时监测，流量偏差可预警：检测误差不大于±10%；</w:t>
                  </w:r>
                  <w:r>
                    <w:br/>
                  </w:r>
                  <w:r>
                    <w:rPr>
                      <w:rFonts w:ascii="宋体" w:hAnsi="宋体" w:cs="宋体" w:eastAsia="宋体"/>
                      <w:sz w:val="21"/>
                      <w:color w:val="000000"/>
                    </w:rPr>
                    <w:t>4、进气总管配备传感器，实现压力的实时监测：检测误差不大于±0.2%URL；</w:t>
                  </w:r>
                  <w:r>
                    <w:br/>
                  </w:r>
                  <w:r>
                    <w:rPr>
                      <w:rFonts w:ascii="宋体" w:hAnsi="宋体" w:cs="宋体" w:eastAsia="宋体"/>
                      <w:sz w:val="21"/>
                      <w:color w:val="000000"/>
                    </w:rPr>
                    <w:t>5、气态污染物四参数配备外置流量传感器（非监测仪器自带流量传感器），对总进出气流量及四参数仪器支流量进行实时监测，流量显示单位为L/min。</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过滤膜自动更换</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需采用机械结构正面自左直右传送过滤膜，左边部分为空白过滤膜存储位置，中间部分为过滤膜工作位置，右边为使用后的过滤膜存放位置，每张过滤膜与膜夹一起工作，使用膜筒进行更换空白过滤膜；</w:t>
                  </w:r>
                </w:p>
                <w:p>
                  <w:pPr>
                    <w:pStyle w:val="null3"/>
                    <w:numPr>
                      <w:ilvl w:val="0"/>
                      <w:numId w:val="1"/>
                    </w:numPr>
                    <w:jc w:val="left"/>
                  </w:pPr>
                  <w:r>
                    <w:rPr>
                      <w:rFonts w:ascii="宋体" w:hAnsi="宋体" w:cs="宋体" w:eastAsia="宋体"/>
                      <w:sz w:val="21"/>
                      <w:color w:val="000000"/>
                    </w:rPr>
                    <w:t>气态污染物分析仪进气管路的过滤膜应具备自动更换功能，延长人为运维周期；</w:t>
                  </w:r>
                  <w:r>
                    <w:br/>
                  </w:r>
                  <w:r>
                    <w:rPr>
                      <w:rFonts w:ascii="宋体" w:hAnsi="宋体" w:cs="宋体" w:eastAsia="宋体"/>
                      <w:sz w:val="21"/>
                      <w:color w:val="000000"/>
                    </w:rPr>
                    <w:t>3、自动更换的周期或条件可远程设定，自动更换装置应满足不少于1个月的自动更换需求。</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远程通标和校准</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1、可对气态污染物任务实时跟踪并进行定期或突击标样核查；</w:t>
                  </w:r>
                  <w:r>
                    <w:br/>
                  </w:r>
                  <w:r>
                    <w:rPr>
                      <w:rFonts w:ascii="宋体" w:hAnsi="宋体" w:cs="宋体" w:eastAsia="宋体"/>
                      <w:sz w:val="21"/>
                      <w:color w:val="000000"/>
                    </w:rPr>
                    <w:t>2、通过系统设置、远程操作可实现自动校零、校跨，且对通标结果自动分析和预警；</w:t>
                  </w:r>
                  <w:r>
                    <w:br/>
                  </w:r>
                  <w:r>
                    <w:rPr>
                      <w:rFonts w:ascii="宋体" w:hAnsi="宋体" w:cs="宋体" w:eastAsia="宋体"/>
                      <w:sz w:val="21"/>
                      <w:color w:val="000000"/>
                    </w:rPr>
                    <w:t>3、可通过预设调整自动核查频次，提高核查时效性，增加质控核查频次和时效性，气态污染物标样核查频次可提升至每日一次；</w:t>
                  </w:r>
                  <w:r>
                    <w:br/>
                  </w:r>
                  <w:r>
                    <w:rPr>
                      <w:rFonts w:ascii="宋体" w:hAnsi="宋体" w:cs="宋体" w:eastAsia="宋体"/>
                      <w:sz w:val="21"/>
                      <w:color w:val="000000"/>
                    </w:rPr>
                    <w:t>4、标准气体物资登记和有效期预警。</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宋体" w:hAnsi="宋体" w:cs="宋体" w:eastAsia="宋体"/>
                      <w:sz w:val="21"/>
                      <w:color w:val="000000"/>
                    </w:rPr>
                    <w:t>智能质控（外部）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颗粒物预警感知</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1、对颗粒物自动监测仪监测数据进行分钟、小时、日均值实时监控；</w:t>
                  </w:r>
                  <w:r>
                    <w:br/>
                  </w:r>
                  <w:r>
                    <w:rPr>
                      <w:rFonts w:ascii="宋体" w:hAnsi="宋体" w:cs="宋体" w:eastAsia="宋体"/>
                      <w:sz w:val="21"/>
                      <w:color w:val="000000"/>
                    </w:rPr>
                    <w:t>2、对自动监测仪存疑数据进行预警；</w:t>
                  </w:r>
                  <w:r>
                    <w:br/>
                  </w:r>
                  <w:r>
                    <w:rPr>
                      <w:rFonts w:ascii="宋体" w:hAnsi="宋体" w:cs="宋体" w:eastAsia="宋体"/>
                      <w:sz w:val="21"/>
                      <w:color w:val="000000"/>
                    </w:rPr>
                    <w:t>3、测量范围：PM10：（0～1000）μg/m3，PM2.5：（0～1000）μg/m3；</w:t>
                  </w:r>
                  <w:r>
                    <w:br/>
                  </w:r>
                  <w:r>
                    <w:rPr>
                      <w:rFonts w:ascii="宋体" w:hAnsi="宋体" w:cs="宋体" w:eastAsia="宋体"/>
                      <w:sz w:val="21"/>
                      <w:color w:val="000000"/>
                    </w:rPr>
                    <w:t>4、允许误差（与膜采样称重法）：不大于±20μg/m3（浓度≤100μg/m3），不大于±20%（浓度&gt;100μg/m3）；</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9"/>
                  <w:vMerge/>
                  <w:tcBorders>
                    <w:top w:val="none" w:color="000000" w:sz="4"/>
                    <w:left w:val="single" w:color="000000" w:sz="4"/>
                    <w:bottom w:val="single" w:color="000000" w:sz="4"/>
                    <w:right w:val="single" w:color="000000" w:sz="4"/>
                  </w:tcBorders>
                </w:tcPr>
                <w:p/>
              </w:tc>
              <w:tc>
                <w:tcPr>
                  <w:tcW w:type="dxa" w:w="81"/>
                  <w:vMerge/>
                  <w:tcBorders>
                    <w:top w:val="non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颗粒物远程自动比对</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系统可定期自动进行颗粒物的基准监测，实现颗粒物自动监测数据的溯源比对；</w:t>
                  </w:r>
                  <w:r>
                    <w:br/>
                  </w:r>
                  <w:r>
                    <w:rPr>
                      <w:rFonts w:ascii="宋体" w:hAnsi="宋体" w:cs="宋体" w:eastAsia="宋体"/>
                      <w:sz w:val="21"/>
                      <w:color w:val="000000"/>
                    </w:rPr>
                    <w:t>2、可根据预警设备的预警，自动进行数据的核查比对；</w:t>
                  </w:r>
                  <w:r>
                    <w:br/>
                  </w:r>
                  <w:r>
                    <w:rPr>
                      <w:rFonts w:ascii="宋体" w:hAnsi="宋体" w:cs="宋体" w:eastAsia="宋体"/>
                      <w:sz w:val="21"/>
                      <w:color w:val="000000"/>
                    </w:rPr>
                    <w:t>3、称量环境控制仓进风方式应为自上而下整体下压的方式，且具备静压内循环功能；设备整个顶部应设有密集的进风口，充分保证温湿度控制的准确性和均匀性，确保样品上的颗粒物不受到风速的影响；</w:t>
                  </w:r>
                  <w:r>
                    <w:br/>
                  </w:r>
                  <w:r>
                    <w:rPr>
                      <w:rFonts w:ascii="宋体" w:hAnsi="宋体" w:cs="宋体" w:eastAsia="宋体"/>
                      <w:sz w:val="21"/>
                      <w:color w:val="000000"/>
                    </w:rPr>
                    <w:t>4、颗粒物采样流量：16.67L/min；</w:t>
                  </w:r>
                  <w:r>
                    <w:br/>
                  </w:r>
                  <w:r>
                    <w:rPr>
                      <w:rFonts w:ascii="宋体" w:hAnsi="宋体" w:cs="宋体" w:eastAsia="宋体"/>
                      <w:sz w:val="21"/>
                      <w:color w:val="000000"/>
                    </w:rPr>
                    <w:t>5、平均流量偏差：不大于±2%；</w:t>
                  </w:r>
                  <w:r>
                    <w:br/>
                  </w:r>
                  <w:r>
                    <w:rPr>
                      <w:rFonts w:ascii="宋体" w:hAnsi="宋体" w:cs="宋体" w:eastAsia="宋体"/>
                      <w:sz w:val="21"/>
                      <w:color w:val="000000"/>
                    </w:rPr>
                    <w:t>6、最大连续采样天数：30天；</w:t>
                  </w:r>
                  <w:r>
                    <w:br/>
                  </w:r>
                  <w:r>
                    <w:rPr>
                      <w:rFonts w:ascii="宋体" w:hAnsi="宋体" w:cs="宋体" w:eastAsia="宋体"/>
                      <w:sz w:val="21"/>
                      <w:color w:val="000000"/>
                    </w:rPr>
                    <w:t>7、配备去静电装置，应采用释放正负离子中和法，完全消除样品吸附的静电电荷，可有效避免样品上细微颗粒物被吹落；</w:t>
                  </w:r>
                </w:p>
                <w:p>
                  <w:pPr>
                    <w:pStyle w:val="null3"/>
                    <w:numPr>
                      <w:ilvl w:val="0"/>
                      <w:numId w:val="1"/>
                    </w:numPr>
                    <w:jc w:val="left"/>
                  </w:pPr>
                  <w:r>
                    <w:rPr>
                      <w:rFonts w:ascii="宋体" w:hAnsi="宋体" w:cs="宋体" w:eastAsia="宋体"/>
                      <w:sz w:val="21"/>
                      <w:color w:val="000000"/>
                    </w:rPr>
                    <w:t>滤膜两次称量误差：＜</w:t>
                  </w:r>
                  <w:r>
                    <w:rPr>
                      <w:rFonts w:ascii="宋体" w:hAnsi="宋体" w:cs="宋体" w:eastAsia="宋体"/>
                      <w:sz w:val="21"/>
                      <w:color w:val="000000"/>
                    </w:rPr>
                    <w:t>0.04mg;</w:t>
                  </w:r>
                  <w:r>
                    <w:br/>
                  </w:r>
                  <w:r>
                    <w:rPr>
                      <w:rFonts w:ascii="宋体" w:hAnsi="宋体" w:cs="宋体" w:eastAsia="宋体"/>
                      <w:sz w:val="21"/>
                      <w:color w:val="000000"/>
                    </w:rPr>
                    <w:t>9、称量天平分辨率；0.01mg;</w:t>
                  </w:r>
                  <w:r>
                    <w:br/>
                  </w:r>
                  <w:r>
                    <w:rPr>
                      <w:rFonts w:ascii="宋体" w:hAnsi="宋体" w:cs="宋体" w:eastAsia="宋体"/>
                      <w:sz w:val="21"/>
                      <w:color w:val="000000"/>
                    </w:rPr>
                    <w:t>10、隔振：系统具有去耦隔振功能，配备独立的天平隔振台，置于设备内部独立落地支撑，四周与设备无硬接触；</w:t>
                  </w:r>
                </w:p>
                <w:p>
                  <w:pPr>
                    <w:pStyle w:val="null3"/>
                    <w:numPr>
                      <w:ilvl w:val="0"/>
                      <w:numId w:val="1"/>
                    </w:numPr>
                    <w:jc w:val="left"/>
                  </w:pPr>
                  <w:r>
                    <w:rPr>
                      <w:rFonts w:ascii="宋体" w:hAnsi="宋体" w:cs="宋体" w:eastAsia="宋体"/>
                      <w:sz w:val="21"/>
                      <w:color w:val="000000"/>
                    </w:rPr>
                    <w:t>配备外置显示屏固定在压缩机柜上，可旋转，方便客户操作，显示屏尺寸大于等于</w:t>
                  </w:r>
                  <w:r>
                    <w:rPr>
                      <w:rFonts w:ascii="宋体" w:hAnsi="宋体" w:cs="宋体" w:eastAsia="宋体"/>
                      <w:sz w:val="21"/>
                      <w:color w:val="000000"/>
                    </w:rPr>
                    <w:t>15.5寸；</w:t>
                  </w:r>
                </w:p>
                <w:p>
                  <w:pPr>
                    <w:pStyle w:val="null3"/>
                    <w:jc w:val="left"/>
                  </w:pPr>
                  <w:r>
                    <w:rPr>
                      <w:rFonts w:ascii="宋体" w:hAnsi="宋体" w:cs="宋体" w:eastAsia="宋体"/>
                      <w:sz w:val="21"/>
                      <w:color w:val="000000"/>
                    </w:rPr>
                    <w:t>12、设备尺寸：主机尺寸大于等于1000*700*1730mm，压缩机尺寸大于等于660*700*1000mm</w:t>
                  </w:r>
                  <w:r>
                    <w:br/>
                  </w:r>
                  <w:r>
                    <w:rPr>
                      <w:rFonts w:ascii="宋体" w:hAnsi="宋体" w:cs="宋体" w:eastAsia="宋体"/>
                      <w:sz w:val="21"/>
                      <w:color w:val="000000"/>
                    </w:rPr>
                    <w:t>13、设备框架需采用不锈钢钣金焊接结构，焊接结构能够保证设备移动及长时间放置后不易变形，密封保温性能提高。</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30天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交货完成并且验收合格后一次性支付所有货款</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w:t>
      </w:r>
    </w:p>
    <w:p>
      <w:pPr>
        <w:pStyle w:val="null3"/>
        <w:jc w:val="left"/>
        <w:outlineLvl w:val="2"/>
      </w:pPr>
      <w:r>
        <w:rPr>
          <w:sz w:val="28"/>
          <w:b/>
        </w:rPr>
        <w:t>3.5其他要求</w:t>
      </w:r>
    </w:p>
    <w:p>
      <w:pPr>
        <w:pStyle w:val="null3"/>
      </w:pPr>
      <w:r>
        <w:rPr/>
        <w:t>1、交货期：30天； 2、付款方式：合同签订后，项目完成并验收合格交付使用，一次性支付所有价款（付款方式以此项为准）； 3、质保期：1年。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审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上传相应的证明文件</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社保证明</w:t>
            </w:r>
          </w:p>
        </w:tc>
        <w:tc>
          <w:tcPr>
            <w:tcW w:type="dxa" w:w="3322"/>
          </w:tcPr>
          <w:p>
            <w:pPr>
              <w:pStyle w:val="null3"/>
            </w:pPr>
            <w:r>
              <w:rPr/>
              <w:t>提供投标截止时间前六个月内至少一个月的社会保障资金缴存单据或社保机构开具的社会保险参保缴费情况证明，依法不需要缴纳社会保障资金的单位应提供相关证明材料。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纳税证明</w:t>
            </w:r>
          </w:p>
        </w:tc>
        <w:tc>
          <w:tcPr>
            <w:tcW w:type="dxa" w:w="3322"/>
          </w:tcPr>
          <w:p>
            <w:pPr>
              <w:pStyle w:val="null3"/>
            </w:pPr>
            <w:r>
              <w:rPr/>
              <w:t>提供投标截止时间前六个月内至少一个月已缴纳的任意税种的凭据；其他组织和自然人提供投标文件截止时间前六个月内至少一个月缴纳税收的凭据，依法免税的应提供相关文件证明。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应符合磋商文件的格式要求。</w:t>
            </w:r>
          </w:p>
        </w:tc>
        <w:tc>
          <w:tcPr>
            <w:tcW w:type="dxa" w:w="1661"/>
          </w:tcPr>
          <w:p>
            <w:pPr>
              <w:pStyle w:val="null3"/>
            </w:pPr>
            <w:r>
              <w:rPr/>
              <w:t>响应文件封面 商务应答表</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第一次磋商报价不超过最高限价。</w:t>
            </w:r>
          </w:p>
        </w:tc>
        <w:tc>
          <w:tcPr>
            <w:tcW w:type="dxa" w:w="1661"/>
          </w:tcPr>
          <w:p>
            <w:pPr>
              <w:pStyle w:val="null3"/>
            </w:pPr>
            <w:r>
              <w:rPr/>
              <w:t>响应文件封面 分项报价表 商务应答表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符合磋商文件要求</w:t>
            </w:r>
          </w:p>
        </w:tc>
        <w:tc>
          <w:tcPr>
            <w:tcW w:type="dxa" w:w="1661"/>
          </w:tcPr>
          <w:p>
            <w:pPr>
              <w:pStyle w:val="null3"/>
            </w:pPr>
            <w:r>
              <w:rPr/>
              <w:t>响应文件封面 商务应答表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符合磋商文件要求</w:t>
            </w:r>
          </w:p>
        </w:tc>
        <w:tc>
          <w:tcPr>
            <w:tcW w:type="dxa" w:w="1661"/>
          </w:tcPr>
          <w:p>
            <w:pPr>
              <w:pStyle w:val="null3"/>
            </w:pPr>
            <w:r>
              <w:rPr/>
              <w:t>响应文件封面 商务应答表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符合磋商文件要求</w:t>
            </w:r>
          </w:p>
        </w:tc>
        <w:tc>
          <w:tcPr>
            <w:tcW w:type="dxa" w:w="1661"/>
          </w:tcPr>
          <w:p>
            <w:pPr>
              <w:pStyle w:val="null3"/>
            </w:pPr>
            <w:r>
              <w:rPr/>
              <w:t>响应文件封面 商务应答表</w:t>
            </w:r>
          </w:p>
        </w:tc>
      </w:tr>
      <w:tr>
        <w:tc>
          <w:tcPr>
            <w:tcW w:type="dxa" w:w="831"/>
          </w:tcPr>
          <w:p>
            <w:pPr>
              <w:pStyle w:val="null3"/>
            </w:pPr>
            <w:r>
              <w:rPr/>
              <w:t>8</w:t>
            </w:r>
          </w:p>
        </w:tc>
        <w:tc>
          <w:tcPr>
            <w:tcW w:type="dxa" w:w="2492"/>
          </w:tcPr>
          <w:p>
            <w:pPr>
              <w:pStyle w:val="null3"/>
            </w:pPr>
            <w:r>
              <w:rPr/>
              <w:t>投标文件内容</w:t>
            </w:r>
          </w:p>
        </w:tc>
        <w:tc>
          <w:tcPr>
            <w:tcW w:type="dxa" w:w="3322"/>
          </w:tcPr>
          <w:p>
            <w:pPr>
              <w:pStyle w:val="null3"/>
            </w:pPr>
            <w:r>
              <w:rPr/>
              <w:t>应符合磋商文件的要求。</w:t>
            </w:r>
          </w:p>
        </w:tc>
        <w:tc>
          <w:tcPr>
            <w:tcW w:type="dxa" w:w="1661"/>
          </w:tcPr>
          <w:p>
            <w:pPr>
              <w:pStyle w:val="null3"/>
            </w:pPr>
            <w:r>
              <w:rPr/>
              <w:t>响应文件封面 商务应答表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产品选型及配置</w:t>
            </w:r>
          </w:p>
        </w:tc>
        <w:tc>
          <w:tcPr>
            <w:tcW w:type="dxa" w:w="2492"/>
          </w:tcPr>
          <w:p>
            <w:pPr>
              <w:pStyle w:val="null3"/>
            </w:pPr>
            <w:r>
              <w:rPr/>
              <w:t>响应产品选型合理，性价比高、配套性好，完全满足采购要求，得(17-25]分； 响应产品选型基本合理，性价比一般，配套性较好，满足采购要求，得(7-17]分； 响应产品选型配备较差，性价比低，配套性一般，得[0-7]分。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产品技术参数表</w:t>
            </w:r>
          </w:p>
          <w:p>
            <w:pPr>
              <w:pStyle w:val="null3"/>
            </w:pPr>
            <w:r>
              <w:rPr/>
              <w:t>技术方案</w:t>
            </w:r>
          </w:p>
        </w:tc>
      </w:tr>
      <w:tr>
        <w:tc>
          <w:tcPr>
            <w:tcW w:type="dxa" w:w="831"/>
            <w:vMerge/>
          </w:tcPr>
          <w:p/>
        </w:tc>
        <w:tc>
          <w:tcPr>
            <w:tcW w:type="dxa" w:w="1661"/>
          </w:tcPr>
          <w:p>
            <w:pPr>
              <w:pStyle w:val="null3"/>
            </w:pPr>
            <w:r>
              <w:rPr/>
              <w:t>项目实施、供货及安装方案</w:t>
            </w:r>
          </w:p>
        </w:tc>
        <w:tc>
          <w:tcPr>
            <w:tcW w:type="dxa" w:w="2492"/>
          </w:tcPr>
          <w:p>
            <w:pPr>
              <w:pStyle w:val="null3"/>
            </w:pPr>
            <w:r>
              <w:rPr/>
              <w:t>针对本项目的组织实施、产品的供货、安装调试组织措施完善，并针对本项目特点做出合理计划及调配，由专业的技术人员提供服务，并帮助采购人将设备调试到最佳使用状态，能保证项目的顺利运行。 组织实施、供货方案完备、合理、切实可行,得(9-15]分； 组织实施、供货方案较完备、合理、基本可行，得(4-9])分； 组织实施、供货方案较差或未提供，得[0-4]分。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w:t>
            </w:r>
          </w:p>
        </w:tc>
        <w:tc>
          <w:tcPr>
            <w:tcW w:type="dxa" w:w="2492"/>
          </w:tcPr>
          <w:p>
            <w:pPr>
              <w:pStyle w:val="null3"/>
            </w:pPr>
            <w:r>
              <w:rPr/>
              <w:t>产品供应渠道正常、质量有保证，具有较好的使用效果，符合国际、国内相关标准及行业要求，出厂检验合格，技术资料齐全。 产品的技术证明材料完整、来源渠道正规、质量保证措施完善，得(6-10]分； 产品的技术证明材料基本完整、来源渠道正规、质量保证措施基本完善，得(3-6]分； 产品技术证明材料不全或质量保证措施不够完善，得[0-3]分。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根据各供应商的售后服务承诺、维护保修计划（包括具体的售后服务内容、响应方式、响应时间、故障服务管理、问题管理、设备返修管理等）进行评审按差别计分。 售后服务措施和承诺详细可行，得(7-10]分； 售后服务措施和承诺较完善，得(4-7]分； 售后服务措施和承诺较差或未提供，得[0-4]分。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培训方案</w:t>
            </w:r>
          </w:p>
        </w:tc>
        <w:tc>
          <w:tcPr>
            <w:tcW w:type="dxa" w:w="2492"/>
          </w:tcPr>
          <w:p>
            <w:pPr>
              <w:pStyle w:val="null3"/>
            </w:pPr>
            <w:r>
              <w:rPr/>
              <w:t>供应商制定完善的培训服务方案，保证使用单位能熟练操作和正常使用。 培训服务方案详细可行，得(4-5]分； 培训服务方案基本合理，得(2-4]分； 培训服务方案较差或未提供，得[0-2]分。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供应商提供自2021年12月至今，供应商的同类项目业绩（以合同复印件为准），每提供1份得1分，最高得5分。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磋商报价得分=（磋商基准价/最后磋商报价）×30 注：磋商基准价即实质性响应竞争性磋商文件要求的供应商的最低磋商报价。大于最高限价的磋商报价在评审过程中报价按无效磋商处理。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