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档案馆服务器硬件及档案软件采购项目</w:t>
      </w:r>
    </w:p>
    <w:p>
      <w:pPr>
        <w:pStyle w:val="null3"/>
        <w:jc w:val="center"/>
        <w:outlineLvl w:val="2"/>
      </w:pPr>
      <w:r>
        <w:rPr>
          <w:b/>
          <w:sz w:val="28"/>
        </w:rPr>
        <w:t>采购项目编号：</w:t>
      </w:r>
      <w:r>
        <w:rPr>
          <w:b/>
          <w:sz w:val="28"/>
        </w:rPr>
        <w:t>DCZX2024-ZCCS-FW1012-2</w:t>
      </w:r>
      <w:r>
        <w:br/>
      </w:r>
      <w:r>
        <w:br/>
      </w:r>
      <w:r>
        <w:br/>
      </w:r>
    </w:p>
    <w:p>
      <w:pPr>
        <w:pStyle w:val="null3"/>
        <w:jc w:val="center"/>
        <w:outlineLvl w:val="2"/>
      </w:pPr>
      <w:r>
        <w:rPr>
          <w:b/>
          <w:sz w:val="28"/>
        </w:rPr>
        <w:t>西安市新城区档案馆</w:t>
      </w:r>
    </w:p>
    <w:p>
      <w:pPr>
        <w:pStyle w:val="null3"/>
        <w:jc w:val="center"/>
        <w:outlineLvl w:val="2"/>
      </w:pPr>
      <w:r>
        <w:rPr>
          <w:b/>
          <w:sz w:val="28"/>
        </w:rPr>
        <w:t>陕西鼎成项目管理咨询有限公司</w:t>
      </w:r>
      <w:r>
        <w:rPr>
          <w:b/>
          <w:sz w:val="28"/>
        </w:rPr>
        <w:t>共同编制</w:t>
      </w:r>
    </w:p>
    <w:p>
      <w:pPr>
        <w:pStyle w:val="null3"/>
        <w:jc w:val="center"/>
        <w:outlineLvl w:val="2"/>
      </w:pPr>
      <w:r>
        <w:rPr>
          <w:b/>
          <w:sz w:val="28"/>
        </w:rPr>
        <w:t>2024年04月01日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陕西鼎成项目管理咨询有限公司</w:t>
      </w:r>
      <w:r>
        <w:rPr/>
        <w:t>（以下简称“代理机构”）受</w:t>
      </w:r>
      <w:r>
        <w:rPr/>
        <w:t>西安市新城区档案馆</w:t>
      </w:r>
      <w:r>
        <w:rPr/>
        <w:t>委托，拟对</w:t>
      </w:r>
      <w:r>
        <w:rPr/>
        <w:t>档案馆服务器硬件及档案软件采购项目</w:t>
      </w:r>
      <w:r>
        <w:rPr/>
        <w:t>采用竞争性磋商采购方式进行采购，兹邀请供应商参加本项目的竞争性磋商。</w:t>
      </w:r>
    </w:p>
    <w:p>
      <w:pPr>
        <w:pStyle w:val="null3"/>
        <w:outlineLvl w:val="2"/>
      </w:pPr>
      <w:r>
        <w:rPr>
          <w:b/>
          <w:sz w:val="28"/>
        </w:rPr>
        <w:t>一、项目编号：</w:t>
      </w:r>
      <w:r>
        <w:rPr>
          <w:b/>
          <w:sz w:val="28"/>
        </w:rPr>
        <w:t>DCZX2024-ZCCS-FW1012-2</w:t>
      </w:r>
    </w:p>
    <w:p>
      <w:pPr>
        <w:pStyle w:val="null3"/>
        <w:outlineLvl w:val="2"/>
      </w:pPr>
      <w:r>
        <w:rPr>
          <w:b/>
          <w:sz w:val="28"/>
        </w:rPr>
        <w:t>二、项目名称：</w:t>
      </w:r>
      <w:r>
        <w:rPr>
          <w:b/>
          <w:sz w:val="28"/>
        </w:rPr>
        <w:t>档案馆服务器硬件及档案软件采购项目</w:t>
      </w:r>
    </w:p>
    <w:p>
      <w:pPr>
        <w:pStyle w:val="null3"/>
        <w:outlineLvl w:val="2"/>
      </w:pPr>
      <w:r>
        <w:rPr>
          <w:b/>
          <w:sz w:val="28"/>
        </w:rPr>
        <w:t>三、磋商项目简介</w:t>
      </w:r>
    </w:p>
    <w:p>
      <w:pPr>
        <w:pStyle w:val="null3"/>
        <w:ind w:firstLine="480"/>
      </w:pPr>
      <w:r>
        <w:rPr/>
        <w:t>采购服务器存储硬件及服务器操作系统，国产数据库须能对接目前馆里查档软件，同时完成目前馆里档案软件的数据迁移，档案软件升级完需完全兼容目前馆里查档软件的迁移数据。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采购包1（档案馆服务器硬件及档案软件采购项目）：属于预留采购份额面向中小企业采购，预留比例为78.37%。</w:t>
      </w:r>
    </w:p>
    <w:p>
      <w:pPr>
        <w:pStyle w:val="null3"/>
      </w:pPr>
      <w:r>
        <w:rPr/>
        <w:t>供应商合同分包的，分包意向协议中中小企业预留比例为78.37%。（未进行合同分包的，供应商应当为中小企业）</w:t>
      </w:r>
    </w:p>
    <w:p>
      <w:pPr>
        <w:pStyle w:val="null3"/>
      </w:pPr>
      <w:r>
        <w:rPr/>
        <w:t>未组成联合体且未进行合同分包的，供应商应当为中小企业。</w:t>
      </w:r>
    </w:p>
    <w:p>
      <w:pPr>
        <w:pStyle w:val="null3"/>
        <w:ind w:firstLine="480"/>
      </w:pPr>
      <w:r>
        <w:rPr/>
        <w:t>（三）本项目的特定资格要求：</w:t>
      </w:r>
    </w:p>
    <w:p>
      <w:pPr>
        <w:pStyle w:val="null3"/>
      </w:pPr>
      <w:r>
        <w:rPr/>
        <w:t>采购包1：</w:t>
      </w:r>
    </w:p>
    <w:p>
      <w:pPr>
        <w:pStyle w:val="null3"/>
      </w:pPr>
      <w:r>
        <w:rPr/>
        <w:t>1、身份证明 ： 法定代表人授权书（法定代表人直接参加磋商，须提供法定代表人身份证明）；</w:t>
      </w:r>
    </w:p>
    <w:p>
      <w:pPr>
        <w:pStyle w:val="null3"/>
      </w:pPr>
      <w:r>
        <w:rPr/>
        <w:t>2、非联合体声明：本项目不接受联合体投标；</w:t>
      </w:r>
    </w:p>
    <w:p>
      <w:pPr>
        <w:pStyle w:val="null3"/>
      </w:pPr>
      <w:r>
        <w:rPr/>
        <w:t>3、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4、中小企业预留政策：预留合同总额的78.37%为专门面向中小企业采购。专门面向中小企业采购的部分，应不低于总合同额的78.37%，预留合同总额21.63%为非专门面向中小企业。提供供应商加盖公章的中小企业声明函及分项报价表；若企业性质属于大型， 必须将不低于合同总额的78.37%分包给中小企业，须在响应文件中提供与拟分包企业签订的分包意向协议、中小企业声明函。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西安市新城区档案馆</w:t>
      </w:r>
    </w:p>
    <w:p>
      <w:pPr>
        <w:pStyle w:val="null3"/>
      </w:pPr>
      <w:r>
        <w:rPr/>
        <w:t xml:space="preserve"> 地址： </w:t>
      </w:r>
      <w:r>
        <w:rPr/>
        <w:t>新城区尚德路115号</w:t>
      </w:r>
    </w:p>
    <w:p>
      <w:pPr>
        <w:pStyle w:val="null3"/>
      </w:pPr>
      <w:r>
        <w:rPr/>
        <w:t xml:space="preserve"> 邮编： </w:t>
      </w:r>
      <w:r>
        <w:rPr/>
        <w:t>710000</w:t>
      </w:r>
    </w:p>
    <w:p>
      <w:pPr>
        <w:pStyle w:val="null3"/>
      </w:pPr>
      <w:r>
        <w:rPr/>
        <w:t xml:space="preserve"> 联系人： </w:t>
      </w:r>
      <w:r>
        <w:rPr/>
        <w:t>李老师</w:t>
      </w:r>
    </w:p>
    <w:p>
      <w:pPr>
        <w:pStyle w:val="null3"/>
      </w:pPr>
      <w:r>
        <w:rPr/>
        <w:t xml:space="preserve"> 联系电话： </w:t>
      </w:r>
      <w:r>
        <w:rPr/>
        <w:t>029-87457735</w:t>
      </w:r>
    </w:p>
    <w:p>
      <w:pPr>
        <w:pStyle w:val="null3"/>
        <w:outlineLvl w:val="3"/>
      </w:pPr>
      <w:r>
        <w:rPr>
          <w:b/>
          <w:sz w:val="24"/>
        </w:rPr>
        <w:t>代理机构：</w:t>
      </w:r>
      <w:r>
        <w:rPr>
          <w:b/>
          <w:sz w:val="24"/>
        </w:rPr>
        <w:t>陕西鼎成项目管理咨询有限公司</w:t>
      </w:r>
    </w:p>
    <w:p>
      <w:pPr>
        <w:pStyle w:val="null3"/>
      </w:pPr>
      <w:r>
        <w:rPr/>
        <w:t xml:space="preserve"> 地址： </w:t>
      </w:r>
      <w:r>
        <w:rPr/>
        <w:t>陕西省西安市高新区高新路88号尚品国际B座7层703室</w:t>
      </w:r>
    </w:p>
    <w:p>
      <w:pPr>
        <w:pStyle w:val="null3"/>
      </w:pPr>
      <w:r>
        <w:rPr/>
        <w:t xml:space="preserve"> 邮编： </w:t>
      </w:r>
      <w:r>
        <w:rPr/>
        <w:t>710075</w:t>
      </w:r>
    </w:p>
    <w:p>
      <w:pPr>
        <w:pStyle w:val="null3"/>
      </w:pPr>
      <w:r>
        <w:rPr/>
        <w:t xml:space="preserve"> 联系人： </w:t>
      </w:r>
      <w:r>
        <w:rPr/>
        <w:t>彭宏飞</w:t>
      </w:r>
    </w:p>
    <w:p>
      <w:pPr>
        <w:pStyle w:val="null3"/>
      </w:pPr>
      <w:r>
        <w:rPr/>
        <w:t xml:space="preserve"> 联系电话： </w:t>
      </w:r>
      <w:r>
        <w:rPr/>
        <w:t>029-81773523</w:t>
      </w:r>
    </w:p>
    <w:p>
      <w:pPr>
        <w:pStyle w:val="null3"/>
        <w:outlineLvl w:val="3"/>
      </w:pPr>
      <w:r>
        <w:rPr>
          <w:b/>
          <w:sz w:val="24"/>
        </w:rPr>
        <w:t>采购监督机构：</w:t>
      </w:r>
      <w:r>
        <w:rPr>
          <w:b/>
          <w:sz w:val="24"/>
        </w:rPr>
        <w:t>西安市新城区财政金融局</w:t>
      </w:r>
    </w:p>
    <w:p>
      <w:pPr>
        <w:pStyle w:val="null3"/>
        <w:ind w:firstLine="480"/>
      </w:pPr>
      <w:r>
        <w:rPr/>
        <w:t>联系人：</w:t>
      </w:r>
      <w:r>
        <w:rPr/>
        <w:t>刘老师</w:t>
      </w:r>
    </w:p>
    <w:p>
      <w:pPr>
        <w:pStyle w:val="null3"/>
        <w:ind w:firstLine="480"/>
      </w:pPr>
      <w:r>
        <w:rPr/>
        <w:t>联系电话：</w:t>
      </w:r>
      <w:r>
        <w:rPr/>
        <w:t>029-87438480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国产服务器</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2、成交供应商在领取成交通知书前，需向采购代理机构提交加盖公章的纸质版投标文件一套，成交供应商应保持投标文件纸质版内容与系统上传内容完全一致，否则将承担一切法律责任。3、成交单位在领取成交通知书前，须向采购代理机构一次性支付采购代理服务费。代理费缴存账户：开户名称：陕西鼎成项目管理咨询有限公司开户银行：中国民生银行西安枫林绿洲支行账号：171277297（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西安市新城区档案馆</w:t>
      </w:r>
      <w:r>
        <w:rPr/>
        <w:t>和</w:t>
      </w:r>
      <w:r>
        <w:rPr/>
        <w:t>陕西鼎成项目管理咨询有限公司</w:t>
      </w:r>
      <w:r>
        <w:rPr/>
        <w:t>享有。对磋商文件中供应商参加本次政府采购活动应当具备的条件，磋商项目技术、服务、商务及其他要求，评审细则及标准由</w:t>
      </w:r>
      <w:r>
        <w:rPr/>
        <w:t>西安市新城区档案馆</w:t>
      </w:r>
      <w:r>
        <w:rPr/>
        <w:t>负责解释。除上述磋商文件内容，其他内容由</w:t>
      </w:r>
      <w:r>
        <w:rPr/>
        <w:t>陕西鼎成项目管理咨询有限公司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西安市新城区档案馆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陕西鼎成项目管理咨询有限公司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分包比例78.37%，分包履行的内容：预留合同总额的78.37%为专门面向中小企业采购。专门面向中小企业采购的部分，应不低于总合同额的78.37%，预留合同总额的21.63%为非专门面向中小企业。提供供应商加盖公章的中小企业声明函及分项报价表；若企业性质属于大型，必须将不低于合同总额的78.37%分包给中小企业，须在响应文件中提供与拟分包企业签订的分包意向协议、中小企业声明函。；资质要求详见第4章</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详见采购合同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陕西鼎成项目管理咨询有限公司</w:t>
      </w:r>
      <w:r>
        <w:rPr/>
        <w:t xml:space="preserve"> 负责答复；供应商对除采购需求外的采购文件的询问、质疑由</w:t>
      </w:r>
      <w:r>
        <w:rPr/>
        <w:t>陕西鼎成项目管理咨询有限公司</w:t>
      </w:r>
      <w:r>
        <w:rPr/>
        <w:t xml:space="preserve"> 负责答复；供应商对采购过程、采购结果的询问、质疑由 </w:t>
      </w:r>
      <w:r>
        <w:rPr/>
        <w:t>陕西鼎成项目管理咨询有限公司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联系人：彭宏飞</w:t>
      </w:r>
    </w:p>
    <w:p>
      <w:pPr>
        <w:pStyle w:val="null3"/>
      </w:pPr>
      <w:r>
        <w:rPr/>
        <w:t>联系电话：029-81773523</w:t>
      </w:r>
    </w:p>
    <w:p>
      <w:pPr>
        <w:pStyle w:val="null3"/>
      </w:pPr>
      <w:r>
        <w:rPr/>
        <w:t>地址：陕西省西安市高新区高新路88号尚品国际B座7层703室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采购服务器存储硬件及服务器操作系统，国产数据库须能对接目前馆里查档软件，同时完成目前馆里档案软件的数据迁 移，档案软件升级完需完全兼容目前馆里查档软件的迁移数据。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370,000.00</w:t>
      </w:r>
    </w:p>
    <w:p>
      <w:pPr>
        <w:pStyle w:val="null3"/>
      </w:pPr>
      <w:r>
        <w:rPr/>
        <w:t>采购包最高限价（元）: 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档案处理软件集成</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标的名称：档案处理软件集成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b/>
                <w:sz w:val="20"/>
              </w:rPr>
              <w:t>馆用档软件对接国产系统研发：</w:t>
            </w:r>
          </w:p>
          <w:p>
            <w:pPr>
              <w:pStyle w:val="null3"/>
              <w:jc w:val="both"/>
            </w:pPr>
            <w:r>
              <w:rPr>
                <w:rFonts w:ascii="仿宋" w:hAnsi="仿宋" w:cs="仿宋" w:eastAsia="仿宋"/>
                <w:sz w:val="20"/>
              </w:rPr>
              <w:t>馆用档软件对接国产系统研发涉及将专门用于档案馆等场所的软件系统与国产操作系统或其他国产软件系统进行集成和兼容性开发。这个过程可能包括但不限于以下几个关键步骤：</w:t>
            </w:r>
          </w:p>
          <w:p>
            <w:pPr>
              <w:pStyle w:val="null3"/>
              <w:jc w:val="both"/>
            </w:pPr>
            <w:r>
              <w:rPr>
                <w:rFonts w:ascii="仿宋" w:hAnsi="仿宋" w:cs="仿宋" w:eastAsia="仿宋"/>
                <w:sz w:val="20"/>
              </w:rPr>
              <w:t>1.需求分析</w:t>
            </w:r>
          </w:p>
          <w:p>
            <w:pPr>
              <w:pStyle w:val="null3"/>
              <w:jc w:val="both"/>
            </w:pPr>
            <w:r>
              <w:rPr>
                <w:rFonts w:ascii="仿宋" w:hAnsi="仿宋" w:cs="仿宋" w:eastAsia="仿宋"/>
                <w:sz w:val="20"/>
              </w:rPr>
              <w:t>了解用户需求：明确档案馆的具体需求，包括数据管理、检索、借阅等功能。</w:t>
            </w:r>
          </w:p>
          <w:p>
            <w:pPr>
              <w:pStyle w:val="null3"/>
              <w:jc w:val="both"/>
            </w:pPr>
            <w:r>
              <w:rPr>
                <w:rFonts w:ascii="仿宋" w:hAnsi="仿宋" w:cs="仿宋" w:eastAsia="仿宋"/>
                <w:sz w:val="20"/>
              </w:rPr>
              <w:t>分析国产系统特性：深入了解国产系统的技术架构、</w:t>
            </w:r>
            <w:r>
              <w:rPr>
                <w:rFonts w:ascii="仿宋" w:hAnsi="仿宋" w:cs="仿宋" w:eastAsia="仿宋"/>
                <w:sz w:val="20"/>
              </w:rPr>
              <w:t>API接口、安全性能等。</w:t>
            </w:r>
          </w:p>
          <w:p>
            <w:pPr>
              <w:pStyle w:val="null3"/>
              <w:jc w:val="both"/>
            </w:pPr>
            <w:r>
              <w:rPr>
                <w:rFonts w:ascii="仿宋" w:hAnsi="仿宋" w:cs="仿宋" w:eastAsia="仿宋"/>
                <w:sz w:val="20"/>
              </w:rPr>
              <w:t>2.技术选型</w:t>
            </w:r>
          </w:p>
          <w:p>
            <w:pPr>
              <w:pStyle w:val="null3"/>
              <w:jc w:val="both"/>
            </w:pPr>
            <w:r>
              <w:rPr>
                <w:rFonts w:ascii="仿宋" w:hAnsi="仿宋" w:cs="仿宋" w:eastAsia="仿宋"/>
                <w:sz w:val="20"/>
              </w:rPr>
              <w:t>选择合适的开发工具和语言：根据国产系统的特性和开发团队的技术栈，选择合适的开发工具和编程语言。</w:t>
            </w:r>
          </w:p>
          <w:p>
            <w:pPr>
              <w:pStyle w:val="null3"/>
              <w:jc w:val="both"/>
            </w:pPr>
            <w:r>
              <w:rPr>
                <w:rFonts w:ascii="仿宋" w:hAnsi="仿宋" w:cs="仿宋" w:eastAsia="仿宋"/>
                <w:sz w:val="20"/>
              </w:rPr>
              <w:t>确定数据交换格式：确定系统间数据交换的格式，如</w:t>
            </w:r>
            <w:r>
              <w:rPr>
                <w:rFonts w:ascii="仿宋" w:hAnsi="仿宋" w:cs="仿宋" w:eastAsia="仿宋"/>
                <w:sz w:val="20"/>
              </w:rPr>
              <w:t>XML、JSON等。</w:t>
            </w:r>
          </w:p>
          <w:p>
            <w:pPr>
              <w:pStyle w:val="null3"/>
              <w:jc w:val="both"/>
            </w:pPr>
            <w:r>
              <w:rPr>
                <w:rFonts w:ascii="仿宋" w:hAnsi="仿宋" w:cs="仿宋" w:eastAsia="仿宋"/>
                <w:sz w:val="20"/>
              </w:rPr>
              <w:t>3.系统设计</w:t>
            </w:r>
          </w:p>
          <w:p>
            <w:pPr>
              <w:pStyle w:val="null3"/>
              <w:jc w:val="both"/>
            </w:pPr>
            <w:r>
              <w:rPr>
                <w:rFonts w:ascii="仿宋" w:hAnsi="仿宋" w:cs="仿宋" w:eastAsia="仿宋"/>
                <w:sz w:val="20"/>
              </w:rPr>
              <w:t>接口设计：设计系统间交互的接口，确保数据能够准确、高效地传输。</w:t>
            </w:r>
          </w:p>
          <w:p>
            <w:pPr>
              <w:pStyle w:val="null3"/>
              <w:jc w:val="both"/>
            </w:pPr>
            <w:r>
              <w:rPr>
                <w:rFonts w:ascii="仿宋" w:hAnsi="仿宋" w:cs="仿宋" w:eastAsia="仿宋"/>
                <w:sz w:val="20"/>
              </w:rPr>
              <w:t>用户界面设计：设计用户友好的界面，提高系统的易用性和访问性。</w:t>
            </w:r>
          </w:p>
          <w:p>
            <w:pPr>
              <w:pStyle w:val="null3"/>
              <w:jc w:val="both"/>
            </w:pPr>
            <w:r>
              <w:rPr>
                <w:rFonts w:ascii="仿宋" w:hAnsi="仿宋" w:cs="仿宋" w:eastAsia="仿宋"/>
                <w:sz w:val="20"/>
              </w:rPr>
              <w:t>4.开发与测试</w:t>
            </w:r>
          </w:p>
          <w:p>
            <w:pPr>
              <w:pStyle w:val="null3"/>
              <w:jc w:val="both"/>
            </w:pPr>
            <w:r>
              <w:rPr>
                <w:rFonts w:ascii="仿宋" w:hAnsi="仿宋" w:cs="仿宋" w:eastAsia="仿宋"/>
                <w:sz w:val="20"/>
              </w:rPr>
              <w:t>开发：按照设计文档进行系统开发，实现功能模块。</w:t>
            </w:r>
          </w:p>
          <w:p>
            <w:pPr>
              <w:pStyle w:val="null3"/>
              <w:jc w:val="both"/>
            </w:pPr>
            <w:r>
              <w:rPr>
                <w:rFonts w:ascii="仿宋" w:hAnsi="仿宋" w:cs="仿宋" w:eastAsia="仿宋"/>
                <w:sz w:val="20"/>
              </w:rPr>
              <w:t>单元测试：对每个模块进行单元测试，确保功能正确实现。</w:t>
            </w:r>
          </w:p>
          <w:p>
            <w:pPr>
              <w:pStyle w:val="null3"/>
              <w:jc w:val="both"/>
            </w:pPr>
            <w:r>
              <w:rPr>
                <w:rFonts w:ascii="仿宋" w:hAnsi="仿宋" w:cs="仿宋" w:eastAsia="仿宋"/>
                <w:sz w:val="20"/>
              </w:rPr>
              <w:t>集成测试：在系统集成后进行全面测试，包括性能测试、安全测试等。</w:t>
            </w:r>
          </w:p>
          <w:p>
            <w:pPr>
              <w:pStyle w:val="null3"/>
              <w:jc w:val="both"/>
            </w:pPr>
            <w:r>
              <w:rPr>
                <w:rFonts w:ascii="仿宋" w:hAnsi="仿宋" w:cs="仿宋" w:eastAsia="仿宋"/>
                <w:sz w:val="20"/>
              </w:rPr>
              <w:t>5.部署与维护</w:t>
            </w:r>
          </w:p>
          <w:p>
            <w:pPr>
              <w:pStyle w:val="null3"/>
              <w:jc w:val="both"/>
            </w:pPr>
            <w:r>
              <w:rPr>
                <w:rFonts w:ascii="仿宋" w:hAnsi="仿宋" w:cs="仿宋" w:eastAsia="仿宋"/>
                <w:sz w:val="20"/>
              </w:rPr>
              <w:t>部署：将开发完成的系统部署到生产环境。</w:t>
            </w:r>
          </w:p>
          <w:p>
            <w:pPr>
              <w:pStyle w:val="null3"/>
              <w:jc w:val="both"/>
            </w:pPr>
            <w:r>
              <w:rPr>
                <w:rFonts w:ascii="仿宋" w:hAnsi="仿宋" w:cs="仿宋" w:eastAsia="仿宋"/>
                <w:sz w:val="20"/>
              </w:rPr>
              <w:t>用户培训：对档案馆的工作人员进行系统使用培训。</w:t>
            </w:r>
          </w:p>
          <w:p>
            <w:pPr>
              <w:pStyle w:val="null3"/>
              <w:jc w:val="both"/>
            </w:pPr>
            <w:r>
              <w:rPr>
                <w:rFonts w:ascii="仿宋" w:hAnsi="仿宋" w:cs="仿宋" w:eastAsia="仿宋"/>
                <w:sz w:val="20"/>
              </w:rPr>
              <w:t>维护：对系统进行定期维护和更新，确保系统稳定运行。</w:t>
            </w:r>
          </w:p>
          <w:p>
            <w:pPr>
              <w:pStyle w:val="null3"/>
              <w:jc w:val="both"/>
            </w:pPr>
            <w:r>
              <w:rPr>
                <w:rFonts w:ascii="仿宋" w:hAnsi="仿宋" w:cs="仿宋" w:eastAsia="仿宋"/>
                <w:sz w:val="20"/>
              </w:rPr>
              <w:t>6.兼容性与安全性</w:t>
            </w:r>
          </w:p>
          <w:p>
            <w:pPr>
              <w:pStyle w:val="null3"/>
              <w:jc w:val="both"/>
            </w:pPr>
            <w:r>
              <w:rPr>
                <w:rFonts w:ascii="仿宋" w:hAnsi="仿宋" w:cs="仿宋" w:eastAsia="仿宋"/>
                <w:sz w:val="20"/>
              </w:rPr>
              <w:t>确保兼容性：确保软件能够在国产操作系统上稳定运行，注意处理操作系统间的差异。</w:t>
            </w:r>
          </w:p>
          <w:p>
            <w:pPr>
              <w:pStyle w:val="null3"/>
              <w:jc w:val="both"/>
            </w:pPr>
            <w:r>
              <w:rPr>
                <w:rFonts w:ascii="仿宋" w:hAnsi="仿宋" w:cs="仿宋" w:eastAsia="仿宋"/>
                <w:sz w:val="20"/>
              </w:rPr>
              <w:t>加强安全性：加强数据传输和存储的安全性，防止数据泄露。</w:t>
            </w:r>
          </w:p>
          <w:p>
            <w:pPr>
              <w:pStyle w:val="null3"/>
              <w:jc w:val="both"/>
            </w:pPr>
            <w:r>
              <w:rPr>
                <w:rFonts w:ascii="仿宋" w:hAnsi="仿宋" w:cs="仿宋" w:eastAsia="仿宋"/>
                <w:sz w:val="20"/>
              </w:rPr>
              <w:t>注意事项</w:t>
            </w:r>
          </w:p>
          <w:p>
            <w:pPr>
              <w:pStyle w:val="null3"/>
              <w:jc w:val="both"/>
            </w:pPr>
            <w:r>
              <w:rPr>
                <w:rFonts w:ascii="仿宋" w:hAnsi="仿宋" w:cs="仿宋" w:eastAsia="仿宋"/>
                <w:sz w:val="20"/>
              </w:rPr>
              <w:t>遵守法律法规：在开发过程中，确保遵守相关的法律法规和标准。</w:t>
            </w:r>
          </w:p>
          <w:p>
            <w:pPr>
              <w:pStyle w:val="null3"/>
              <w:jc w:val="both"/>
            </w:pPr>
            <w:r>
              <w:rPr>
                <w:rFonts w:ascii="仿宋" w:hAnsi="仿宋" w:cs="仿宋" w:eastAsia="仿宋"/>
                <w:sz w:val="20"/>
              </w:rPr>
              <w:t>用户反馈：开发过程中要重视用户的反馈，根据用户反馈调整系统功能和</w:t>
            </w:r>
          </w:p>
          <w:p>
            <w:pPr>
              <w:pStyle w:val="null3"/>
              <w:jc w:val="both"/>
            </w:pPr>
            <w:r>
              <w:rPr>
                <w:rFonts w:ascii="仿宋" w:hAnsi="仿宋" w:cs="仿宋" w:eastAsia="仿宋"/>
                <w:sz w:val="20"/>
              </w:rPr>
              <w:t>性能。</w:t>
            </w:r>
          </w:p>
          <w:p>
            <w:pPr>
              <w:pStyle w:val="null3"/>
              <w:jc w:val="both"/>
            </w:pPr>
            <w:r>
              <w:rPr>
                <w:rFonts w:ascii="仿宋" w:hAnsi="仿宋" w:cs="仿宋" w:eastAsia="仿宋"/>
                <w:sz w:val="20"/>
              </w:rPr>
              <w:t>②档案软件需使用国产数据库：</w:t>
            </w:r>
          </w:p>
          <w:p>
            <w:pPr>
              <w:pStyle w:val="null3"/>
              <w:jc w:val="both"/>
            </w:pPr>
            <w:r>
              <w:rPr>
                <w:rFonts w:ascii="仿宋" w:hAnsi="仿宋" w:cs="仿宋" w:eastAsia="仿宋"/>
                <w:sz w:val="20"/>
              </w:rPr>
              <w:t>推荐国产数据库的内存配置需要考虑多个因素，包括应用程序的具体需求、预期的并发用户数、数据量大小以及数据库的特定特性</w:t>
            </w:r>
          </w:p>
          <w:p>
            <w:pPr>
              <w:pStyle w:val="null3"/>
              <w:jc w:val="both"/>
            </w:pPr>
            <w:r>
              <w:rPr>
                <w:rFonts w:ascii="仿宋" w:hAnsi="仿宋" w:cs="仿宋" w:eastAsia="仿宋"/>
                <w:sz w:val="20"/>
              </w:rPr>
              <w:t>1.基本原则</w:t>
            </w:r>
          </w:p>
          <w:p>
            <w:pPr>
              <w:pStyle w:val="null3"/>
              <w:jc w:val="both"/>
            </w:pPr>
            <w:r>
              <w:rPr>
                <w:rFonts w:ascii="仿宋" w:hAnsi="仿宋" w:cs="仿宋" w:eastAsia="仿宋"/>
                <w:sz w:val="20"/>
              </w:rPr>
              <w:t>最小配置：对于小型应用或开发、测试环境，至少分配</w:t>
            </w:r>
            <w:r>
              <w:rPr>
                <w:rFonts w:ascii="仿宋" w:hAnsi="仿宋" w:cs="仿宋" w:eastAsia="仿宋"/>
                <w:sz w:val="20"/>
              </w:rPr>
              <w:t>4GB内存给数据库服务器，以确保基本的运行和性能需求。</w:t>
            </w:r>
          </w:p>
          <w:p>
            <w:pPr>
              <w:pStyle w:val="null3"/>
              <w:jc w:val="both"/>
            </w:pPr>
            <w:r>
              <w:rPr>
                <w:rFonts w:ascii="仿宋" w:hAnsi="仿宋" w:cs="仿宋" w:eastAsia="仿宋"/>
                <w:sz w:val="20"/>
              </w:rPr>
              <w:t>生产环境：对于生产环境，建议至少分配</w:t>
            </w:r>
            <w:r>
              <w:rPr>
                <w:rFonts w:ascii="仿宋" w:hAnsi="仿宋" w:cs="仿宋" w:eastAsia="仿宋"/>
                <w:sz w:val="20"/>
              </w:rPr>
              <w:t>8GB以上的内存，具体数值根据应用负载和数据量调整。</w:t>
            </w:r>
          </w:p>
          <w:p>
            <w:pPr>
              <w:pStyle w:val="null3"/>
              <w:jc w:val="both"/>
            </w:pPr>
            <w:r>
              <w:rPr>
                <w:rFonts w:ascii="仿宋" w:hAnsi="仿宋" w:cs="仿宋" w:eastAsia="仿宋"/>
                <w:sz w:val="20"/>
              </w:rPr>
              <w:t>高性能需求：对于高并发访问和大数据量的应用，可能需要</w:t>
            </w:r>
            <w:r>
              <w:rPr>
                <w:rFonts w:ascii="仿宋" w:hAnsi="仿宋" w:cs="仿宋" w:eastAsia="仿宋"/>
                <w:sz w:val="20"/>
              </w:rPr>
              <w:t>32GB、64GB甚至更高的内存配置。</w:t>
            </w:r>
          </w:p>
          <w:p>
            <w:pPr>
              <w:pStyle w:val="null3"/>
              <w:jc w:val="both"/>
            </w:pPr>
            <w:r>
              <w:rPr>
                <w:rFonts w:ascii="仿宋" w:hAnsi="仿宋" w:cs="仿宋" w:eastAsia="仿宋"/>
                <w:sz w:val="20"/>
              </w:rPr>
              <w:t>2.数据库缓存</w:t>
            </w:r>
          </w:p>
          <w:p>
            <w:pPr>
              <w:pStyle w:val="null3"/>
              <w:jc w:val="both"/>
            </w:pPr>
            <w:r>
              <w:rPr>
                <w:rFonts w:ascii="仿宋" w:hAnsi="仿宋" w:cs="仿宋" w:eastAsia="仿宋"/>
                <w:sz w:val="20"/>
              </w:rPr>
              <w:t>数据和索引缓存：大部分数据库系统都会使用一部分内存作为数据和索引的缓存，以提高查询性能。内存越大，能缓存的数据和索引就越多，性能也越好。</w:t>
            </w:r>
          </w:p>
          <w:p>
            <w:pPr>
              <w:pStyle w:val="null3"/>
              <w:jc w:val="both"/>
            </w:pPr>
            <w:r>
              <w:rPr>
                <w:rFonts w:ascii="仿宋" w:hAnsi="仿宋" w:cs="仿宋" w:eastAsia="仿宋"/>
                <w:sz w:val="20"/>
              </w:rPr>
              <w:t>SQL缓存：一些数据库还会缓存执行计划或常用的SQL查询，分配足够的内存给这些缓存可以提高SQL执行的效率。</w:t>
            </w:r>
          </w:p>
          <w:p>
            <w:pPr>
              <w:pStyle w:val="null3"/>
              <w:jc w:val="both"/>
            </w:pPr>
            <w:r>
              <w:rPr>
                <w:rFonts w:ascii="仿宋" w:hAnsi="仿宋" w:cs="仿宋" w:eastAsia="仿宋"/>
                <w:sz w:val="20"/>
              </w:rPr>
              <w:t>3.其他考虑因素</w:t>
            </w:r>
          </w:p>
          <w:p>
            <w:pPr>
              <w:pStyle w:val="null3"/>
              <w:jc w:val="both"/>
            </w:pPr>
            <w:r>
              <w:rPr>
                <w:rFonts w:ascii="仿宋" w:hAnsi="仿宋" w:cs="仿宋" w:eastAsia="仿宋"/>
                <w:sz w:val="20"/>
              </w:rPr>
              <w:t>操作系统和其他应用：分配给数据库的内存需要考虑操作系统和可能运行在同一服务器上的其他应用程序的内存需求。</w:t>
            </w:r>
          </w:p>
          <w:p>
            <w:pPr>
              <w:pStyle w:val="null3"/>
              <w:jc w:val="both"/>
            </w:pPr>
            <w:r>
              <w:rPr>
                <w:rFonts w:ascii="仿宋" w:hAnsi="仿宋" w:cs="仿宋" w:eastAsia="仿宋"/>
                <w:sz w:val="20"/>
              </w:rPr>
              <w:t>并发连接数：更多的并发连接意味着更多的内存消耗，需要根据预期的并发用户数来调整内存配置。</w:t>
            </w:r>
          </w:p>
          <w:p>
            <w:pPr>
              <w:pStyle w:val="null3"/>
              <w:jc w:val="both"/>
            </w:pPr>
            <w:r>
              <w:rPr>
                <w:rFonts w:ascii="仿宋" w:hAnsi="仿宋" w:cs="仿宋" w:eastAsia="仿宋"/>
                <w:sz w:val="20"/>
              </w:rPr>
              <w:t>数据库特性：不同的国产数据库可能有其特定的内存管理机制和配置建议，查阅官方文档以获取最佳实践是非常重要的。</w:t>
            </w:r>
          </w:p>
          <w:p>
            <w:pPr>
              <w:pStyle w:val="null3"/>
              <w:jc w:val="both"/>
            </w:pPr>
            <w:r>
              <w:rPr>
                <w:rFonts w:ascii="仿宋" w:hAnsi="仿宋" w:cs="仿宋" w:eastAsia="仿宋"/>
                <w:sz w:val="20"/>
              </w:rPr>
              <w:t>4.监控和调整</w:t>
            </w:r>
          </w:p>
          <w:p>
            <w:pPr>
              <w:pStyle w:val="null3"/>
              <w:jc w:val="both"/>
            </w:pPr>
            <w:r>
              <w:rPr>
                <w:rFonts w:ascii="仿宋" w:hAnsi="仿宋" w:cs="仿宋" w:eastAsia="仿宋"/>
                <w:sz w:val="20"/>
              </w:rPr>
              <w:t>性能监控：定期监控数据库的性能指标，如内存使用率、查询响应时间等，可以帮助识别性能瓶颈。</w:t>
            </w:r>
          </w:p>
          <w:p>
            <w:pPr>
              <w:pStyle w:val="null3"/>
              <w:jc w:val="both"/>
            </w:pPr>
            <w:r>
              <w:rPr>
                <w:rFonts w:ascii="仿宋" w:hAnsi="仿宋" w:cs="仿宋" w:eastAsia="仿宋"/>
                <w:sz w:val="20"/>
              </w:rPr>
              <w:t>动态调整：根据监控结果和应用需求的变化，适时调整内存配置。</w:t>
            </w:r>
          </w:p>
          <w:p>
            <w:pPr>
              <w:pStyle w:val="null3"/>
              <w:jc w:val="both"/>
            </w:pPr>
            <w:r>
              <w:rPr>
                <w:rFonts w:ascii="仿宋" w:hAnsi="仿宋" w:cs="仿宋" w:eastAsia="仿宋"/>
                <w:sz w:val="20"/>
              </w:rPr>
              <w:t>③馆用档案系统数据迁移至新系统：</w:t>
            </w:r>
          </w:p>
          <w:p>
            <w:pPr>
              <w:pStyle w:val="null3"/>
              <w:jc w:val="both"/>
            </w:pPr>
            <w:r>
              <w:rPr>
                <w:rFonts w:ascii="仿宋" w:hAnsi="仿宋" w:cs="仿宋" w:eastAsia="仿宋"/>
                <w:sz w:val="20"/>
              </w:rPr>
              <w:t>数据迁移至新的馆用档案系统是一个需要仔细规划和执行的过程，以确保数据的完整性和可用性。以下是进行数据迁移的一般步骤：</w:t>
            </w:r>
          </w:p>
          <w:p>
            <w:pPr>
              <w:pStyle w:val="null3"/>
              <w:jc w:val="both"/>
            </w:pPr>
            <w:r>
              <w:rPr>
                <w:rFonts w:ascii="仿宋" w:hAnsi="仿宋" w:cs="仿宋" w:eastAsia="仿宋"/>
                <w:sz w:val="20"/>
              </w:rPr>
              <w:t>1.规划</w:t>
            </w:r>
          </w:p>
          <w:p>
            <w:pPr>
              <w:pStyle w:val="null3"/>
              <w:jc w:val="both"/>
            </w:pPr>
            <w:r>
              <w:rPr>
                <w:rFonts w:ascii="仿宋" w:hAnsi="仿宋" w:cs="仿宋" w:eastAsia="仿宋"/>
                <w:sz w:val="20"/>
              </w:rPr>
              <w:t>评估需求：明确迁移的目标和需求，包括迁移哪些数据、新系统的功能需求等。</w:t>
            </w:r>
          </w:p>
          <w:p>
            <w:pPr>
              <w:pStyle w:val="null3"/>
              <w:jc w:val="both"/>
            </w:pPr>
            <w:r>
              <w:rPr>
                <w:rFonts w:ascii="仿宋" w:hAnsi="仿宋" w:cs="仿宋" w:eastAsia="仿宋"/>
                <w:sz w:val="20"/>
              </w:rPr>
              <w:t>选择工具：根据需求选择合适的数据迁移工具或服务。</w:t>
            </w:r>
          </w:p>
          <w:p>
            <w:pPr>
              <w:pStyle w:val="null3"/>
              <w:jc w:val="both"/>
            </w:pPr>
            <w:r>
              <w:rPr>
                <w:rFonts w:ascii="仿宋" w:hAnsi="仿宋" w:cs="仿宋" w:eastAsia="仿宋"/>
                <w:sz w:val="20"/>
              </w:rPr>
              <w:t>制定计划：制定详细的迁移计划，包括时间表、责任分配、风险评估和应对策略。</w:t>
            </w:r>
          </w:p>
          <w:p>
            <w:pPr>
              <w:pStyle w:val="null3"/>
              <w:jc w:val="both"/>
            </w:pPr>
            <w:r>
              <w:rPr>
                <w:rFonts w:ascii="仿宋" w:hAnsi="仿宋" w:cs="仿宋" w:eastAsia="仿宋"/>
                <w:sz w:val="20"/>
              </w:rPr>
              <w:t>2.准备</w:t>
            </w:r>
          </w:p>
          <w:p>
            <w:pPr>
              <w:pStyle w:val="null3"/>
              <w:jc w:val="both"/>
            </w:pPr>
            <w:r>
              <w:rPr>
                <w:rFonts w:ascii="仿宋" w:hAnsi="仿宋" w:cs="仿宋" w:eastAsia="仿宋"/>
                <w:sz w:val="20"/>
              </w:rPr>
              <w:t>备份数据：在进行任何迁移操作之前，备份所有要迁移的数据，以防止数据丢失或损坏。</w:t>
            </w:r>
          </w:p>
          <w:p>
            <w:pPr>
              <w:pStyle w:val="null3"/>
              <w:jc w:val="both"/>
            </w:pPr>
            <w:r>
              <w:rPr>
                <w:rFonts w:ascii="仿宋" w:hAnsi="仿宋" w:cs="仿宋" w:eastAsia="仿宋"/>
                <w:sz w:val="20"/>
              </w:rPr>
              <w:t>清理数据：评估并清理不需要或冗余的数据，确保迁移的数据质量。</w:t>
            </w:r>
          </w:p>
          <w:p>
            <w:pPr>
              <w:pStyle w:val="null3"/>
              <w:jc w:val="both"/>
            </w:pPr>
            <w:r>
              <w:rPr>
                <w:rFonts w:ascii="仿宋" w:hAnsi="仿宋" w:cs="仿宋" w:eastAsia="仿宋"/>
                <w:sz w:val="20"/>
              </w:rPr>
              <w:t>准备新系统：根据迁移需求配置新系统，包括数据结构、用户权限等。</w:t>
            </w:r>
          </w:p>
          <w:p>
            <w:pPr>
              <w:pStyle w:val="null3"/>
              <w:jc w:val="both"/>
            </w:pPr>
            <w:r>
              <w:rPr>
                <w:rFonts w:ascii="仿宋" w:hAnsi="仿宋" w:cs="仿宋" w:eastAsia="仿宋"/>
                <w:sz w:val="20"/>
              </w:rPr>
              <w:t>3.执行迁移</w:t>
            </w:r>
          </w:p>
          <w:p>
            <w:pPr>
              <w:pStyle w:val="null3"/>
              <w:jc w:val="both"/>
            </w:pPr>
            <w:r>
              <w:rPr>
                <w:rFonts w:ascii="仿宋" w:hAnsi="仿宋" w:cs="仿宋" w:eastAsia="仿宋"/>
                <w:sz w:val="20"/>
              </w:rPr>
              <w:t>测试迁移：在生产环境之外进行迁移测试，验证迁移过程和结果，确保数据的完整性和系统的功能。</w:t>
            </w:r>
          </w:p>
          <w:p>
            <w:pPr>
              <w:pStyle w:val="null3"/>
              <w:jc w:val="both"/>
            </w:pPr>
            <w:r>
              <w:rPr>
                <w:rFonts w:ascii="仿宋" w:hAnsi="仿宋" w:cs="仿宋" w:eastAsia="仿宋"/>
                <w:sz w:val="20"/>
              </w:rPr>
              <w:t>执行迁移：根据测试结果和迁移计划，执行实际的数据迁移。</w:t>
            </w:r>
          </w:p>
          <w:p>
            <w:pPr>
              <w:pStyle w:val="null3"/>
              <w:jc w:val="both"/>
            </w:pPr>
            <w:r>
              <w:rPr>
                <w:rFonts w:ascii="仿宋" w:hAnsi="仿宋" w:cs="仿宋" w:eastAsia="仿宋"/>
                <w:sz w:val="20"/>
              </w:rPr>
              <w:t>验证数据：迁移完成后，验证数据的完整性和准确性，确保新系统中的数据与原系统一致。</w:t>
            </w:r>
          </w:p>
          <w:p>
            <w:pPr>
              <w:pStyle w:val="null3"/>
              <w:jc w:val="both"/>
            </w:pPr>
            <w:r>
              <w:rPr>
                <w:rFonts w:ascii="仿宋" w:hAnsi="仿宋" w:cs="仿宋" w:eastAsia="仿宋"/>
                <w:sz w:val="20"/>
              </w:rPr>
              <w:t>4.过渡和培训</w:t>
            </w:r>
          </w:p>
          <w:p>
            <w:pPr>
              <w:pStyle w:val="null3"/>
              <w:jc w:val="both"/>
            </w:pPr>
            <w:r>
              <w:rPr>
                <w:rFonts w:ascii="仿宋" w:hAnsi="仿宋" w:cs="仿宋" w:eastAsia="仿宋"/>
                <w:sz w:val="20"/>
              </w:rPr>
              <w:t>用户培训：为用户提供新系统的培训，确保他们能够有效使用新系统。</w:t>
            </w:r>
          </w:p>
          <w:p>
            <w:pPr>
              <w:pStyle w:val="null3"/>
              <w:jc w:val="both"/>
            </w:pPr>
            <w:r>
              <w:rPr>
                <w:rFonts w:ascii="仿宋" w:hAnsi="仿宋" w:cs="仿宋" w:eastAsia="仿宋"/>
                <w:sz w:val="20"/>
              </w:rPr>
              <w:t>过渡期：可能需要一段时间的过渡期，新旧系统并行运行，直到确信新系统稳定可靠。</w:t>
            </w:r>
          </w:p>
          <w:p>
            <w:pPr>
              <w:pStyle w:val="null3"/>
              <w:jc w:val="both"/>
            </w:pPr>
            <w:r>
              <w:rPr>
                <w:rFonts w:ascii="仿宋" w:hAnsi="仿宋" w:cs="仿宋" w:eastAsia="仿宋"/>
                <w:sz w:val="20"/>
              </w:rPr>
              <w:t>5.后续支持和维护</w:t>
            </w:r>
          </w:p>
          <w:p>
            <w:pPr>
              <w:pStyle w:val="null3"/>
              <w:jc w:val="both"/>
            </w:pPr>
            <w:r>
              <w:rPr>
                <w:rFonts w:ascii="仿宋" w:hAnsi="仿宋" w:cs="仿宋" w:eastAsia="仿宋"/>
                <w:sz w:val="20"/>
              </w:rPr>
              <w:t>监控：监控新系统的性能和用户反馈，及时解决出现的问题。</w:t>
            </w:r>
          </w:p>
          <w:p>
            <w:pPr>
              <w:pStyle w:val="null3"/>
              <w:jc w:val="both"/>
            </w:pPr>
            <w:r>
              <w:rPr>
                <w:rFonts w:ascii="仿宋" w:hAnsi="仿宋" w:cs="仿宋" w:eastAsia="仿宋"/>
                <w:sz w:val="20"/>
              </w:rPr>
              <w:t>维护：定期维护新系统，包括数据备份、系统更新等。</w:t>
            </w:r>
          </w:p>
          <w:p>
            <w:pPr>
              <w:pStyle w:val="null3"/>
              <w:jc w:val="both"/>
            </w:pPr>
            <w:r>
              <w:rPr>
                <w:rFonts w:ascii="仿宋" w:hAnsi="仿宋" w:cs="仿宋" w:eastAsia="仿宋"/>
                <w:sz w:val="20"/>
              </w:rPr>
              <w:t>注意事项</w:t>
            </w:r>
          </w:p>
          <w:p>
            <w:pPr>
              <w:pStyle w:val="null3"/>
              <w:jc w:val="both"/>
            </w:pPr>
            <w:r>
              <w:rPr>
                <w:rFonts w:ascii="仿宋" w:hAnsi="仿宋" w:cs="仿宋" w:eastAsia="仿宋"/>
                <w:sz w:val="20"/>
              </w:rPr>
              <w:t>数据安全：在整个迁移过程中，确保数据的安全性，防止数据泄露。</w:t>
            </w:r>
          </w:p>
          <w:p>
            <w:pPr>
              <w:pStyle w:val="null3"/>
              <w:jc w:val="both"/>
            </w:pPr>
            <w:r>
              <w:rPr>
                <w:rFonts w:ascii="仿宋" w:hAnsi="仿宋" w:cs="仿宋" w:eastAsia="仿宋"/>
                <w:sz w:val="20"/>
              </w:rPr>
              <w:t>法律合规：确保数据迁移过程符合相关法律法规和标准</w:t>
            </w:r>
            <w:r>
              <w:rPr>
                <w:rFonts w:ascii="仿宋" w:hAnsi="仿宋" w:cs="仿宋" w:eastAsia="仿宋"/>
                <w:sz w:val="20"/>
              </w:rPr>
              <w:t>。</w:t>
            </w:r>
          </w:p>
          <w:p>
            <w:pPr>
              <w:pStyle w:val="null3"/>
              <w:jc w:val="both"/>
            </w:pPr>
            <w:r>
              <w:rPr>
                <w:rFonts w:ascii="仿宋" w:hAnsi="仿宋" w:cs="仿宋" w:eastAsia="仿宋"/>
                <w:b/>
                <w:sz w:val="20"/>
              </w:rPr>
              <w:t>2、</w:t>
            </w:r>
            <w:r>
              <w:rPr>
                <w:rFonts w:ascii="仿宋" w:hAnsi="仿宋" w:cs="仿宋" w:eastAsia="仿宋"/>
                <w:b/>
                <w:sz w:val="20"/>
              </w:rPr>
              <w:t>服务器要求：</w:t>
            </w:r>
          </w:p>
          <w:p>
            <w:pPr>
              <w:pStyle w:val="null3"/>
              <w:jc w:val="both"/>
            </w:pPr>
            <w:r>
              <w:rPr>
                <w:rFonts w:ascii="仿宋" w:hAnsi="仿宋" w:cs="仿宋" w:eastAsia="仿宋"/>
                <w:sz w:val="20"/>
              </w:rPr>
              <w:t>国产服务器</w:t>
            </w:r>
          </w:p>
          <w:p>
            <w:pPr>
              <w:pStyle w:val="null3"/>
              <w:ind w:firstLine="400"/>
              <w:jc w:val="both"/>
            </w:pPr>
            <w:r>
              <w:rPr>
                <w:rFonts w:ascii="仿宋" w:hAnsi="仿宋" w:cs="仿宋" w:eastAsia="仿宋"/>
                <w:sz w:val="20"/>
              </w:rPr>
              <w:t>随着信息技术的快速发展和国家对信息安全的高度重视，国产服务器操作系统得到了迅速的发展。这些操作系统旨在提供与国际主流操作系统相匹配的功能，同时增强数据安全性和可靠性</w:t>
            </w:r>
            <w:r>
              <w:rPr>
                <w:rFonts w:ascii="仿宋" w:hAnsi="仿宋" w:cs="仿宋" w:eastAsia="仿宋"/>
                <w:sz w:val="20"/>
              </w:rPr>
              <w:t>。</w:t>
            </w:r>
          </w:p>
          <w:p>
            <w:pPr>
              <w:pStyle w:val="null3"/>
              <w:jc w:val="both"/>
            </w:pPr>
            <w:r>
              <w:rPr>
                <w:rFonts w:ascii="仿宋" w:hAnsi="仿宋" w:cs="仿宋" w:eastAsia="仿宋"/>
                <w:sz w:val="20"/>
              </w:rPr>
              <w:t>国产服务器操作系统（</w:t>
            </w:r>
            <w:r>
              <w:rPr>
                <w:rFonts w:ascii="仿宋" w:hAnsi="仿宋" w:cs="仿宋" w:eastAsia="仿宋"/>
                <w:sz w:val="20"/>
              </w:rPr>
              <w:t>OS）的选择和配置主要取决于服务器的用途、性能需求、安全性要求以及对国产软件生态的支持程度。以下是一些推荐的国产服务器操作系统及其配置建议，旨在提供高效、安全的服务支持。</w:t>
            </w:r>
          </w:p>
          <w:p>
            <w:pPr>
              <w:pStyle w:val="null3"/>
              <w:jc w:val="both"/>
            </w:pPr>
            <w:r>
              <w:rPr>
                <w:rFonts w:ascii="仿宋" w:hAnsi="仿宋" w:cs="仿宋" w:eastAsia="仿宋"/>
                <w:sz w:val="20"/>
              </w:rPr>
              <w:t>配置</w:t>
            </w:r>
            <w:r>
              <w:rPr>
                <w:rFonts w:ascii="仿宋" w:hAnsi="仿宋" w:cs="仿宋" w:eastAsia="仿宋"/>
                <w:sz w:val="20"/>
              </w:rPr>
              <w:t>需求</w:t>
            </w:r>
            <w:r>
              <w:rPr>
                <w:rFonts w:ascii="仿宋" w:hAnsi="仿宋" w:cs="仿宋" w:eastAsia="仿宋"/>
                <w:sz w:val="20"/>
              </w:rPr>
              <w:t>：</w:t>
            </w:r>
          </w:p>
          <w:p>
            <w:pPr>
              <w:pStyle w:val="null3"/>
              <w:ind w:firstLine="400"/>
              <w:jc w:val="both"/>
            </w:pPr>
            <w:r>
              <w:rPr>
                <w:rFonts w:ascii="仿宋" w:hAnsi="仿宋" w:cs="仿宋" w:eastAsia="仿宋"/>
                <w:sz w:val="20"/>
              </w:rPr>
              <w:t>安全加固：利用国产操作系统提供的安全工具和策略进行系统加固，包括使</w:t>
            </w:r>
            <w:r>
              <w:rPr>
                <w:rFonts w:ascii="仿宋" w:hAnsi="仿宋" w:cs="仿宋" w:eastAsia="仿宋"/>
                <w:sz w:val="20"/>
              </w:rPr>
              <w:t>用</w:t>
            </w:r>
            <w:r>
              <w:rPr>
                <w:rFonts w:ascii="仿宋" w:hAnsi="仿宋" w:cs="仿宋" w:eastAsia="仿宋"/>
                <w:sz w:val="20"/>
              </w:rPr>
              <w:t>SELinux、防火墙配置、及时更新补丁等。</w:t>
            </w:r>
          </w:p>
          <w:p>
            <w:pPr>
              <w:pStyle w:val="null3"/>
              <w:jc w:val="both"/>
            </w:pPr>
            <w:r>
              <w:rPr>
                <w:rFonts w:ascii="仿宋" w:hAnsi="仿宋" w:cs="仿宋" w:eastAsia="仿宋"/>
                <w:sz w:val="20"/>
              </w:rPr>
              <w:t>资源管理：根据应用需求合理分配</w:t>
            </w:r>
            <w:r>
              <w:rPr>
                <w:rFonts w:ascii="仿宋" w:hAnsi="仿宋" w:cs="仿宋" w:eastAsia="仿宋"/>
                <w:sz w:val="20"/>
              </w:rPr>
              <w:t>CPU、内存资源，使用cgroups等工具进行资源限制和监控。</w:t>
            </w:r>
          </w:p>
          <w:p>
            <w:pPr>
              <w:pStyle w:val="null3"/>
              <w:jc w:val="both"/>
            </w:pPr>
            <w:r>
              <w:rPr>
                <w:rFonts w:ascii="仿宋" w:hAnsi="仿宋" w:cs="仿宋" w:eastAsia="仿宋"/>
                <w:sz w:val="20"/>
              </w:rPr>
              <w:t>服务优化：关闭不必要的服务和端口，减少系统开销，提高安全性。</w:t>
            </w:r>
          </w:p>
          <w:p>
            <w:pPr>
              <w:pStyle w:val="null3"/>
              <w:jc w:val="both"/>
            </w:pPr>
            <w:r>
              <w:rPr>
                <w:rFonts w:ascii="仿宋" w:hAnsi="仿宋" w:cs="仿宋" w:eastAsia="仿宋"/>
                <w:sz w:val="20"/>
              </w:rPr>
              <w:t>配置：</w:t>
            </w:r>
          </w:p>
          <w:p>
            <w:pPr>
              <w:pStyle w:val="null3"/>
              <w:jc w:val="both"/>
            </w:pPr>
            <w:r>
              <w:rPr>
                <w:rFonts w:ascii="仿宋" w:hAnsi="仿宋" w:cs="仿宋" w:eastAsia="仿宋"/>
                <w:sz w:val="20"/>
              </w:rPr>
              <w:t>CPU:≥32核，主频≥2.2GHz</w:t>
            </w:r>
          </w:p>
          <w:p>
            <w:pPr>
              <w:pStyle w:val="null3"/>
              <w:jc w:val="both"/>
            </w:pPr>
            <w:r>
              <w:rPr>
                <w:rFonts w:ascii="仿宋" w:hAnsi="仿宋" w:cs="仿宋" w:eastAsia="仿宋"/>
                <w:sz w:val="20"/>
              </w:rPr>
              <w:t>内存：</w:t>
            </w:r>
            <w:r>
              <w:rPr>
                <w:rFonts w:ascii="仿宋" w:hAnsi="仿宋" w:cs="仿宋" w:eastAsia="仿宋"/>
                <w:sz w:val="20"/>
              </w:rPr>
              <w:t>≥128GB</w:t>
            </w:r>
          </w:p>
          <w:p>
            <w:pPr>
              <w:pStyle w:val="null3"/>
              <w:jc w:val="both"/>
            </w:pPr>
            <w:r>
              <w:rPr>
                <w:rFonts w:ascii="仿宋" w:hAnsi="仿宋" w:cs="仿宋" w:eastAsia="仿宋"/>
                <w:sz w:val="20"/>
              </w:rPr>
              <w:t>硬盘</w:t>
            </w:r>
            <w:r>
              <w:rPr>
                <w:rFonts w:ascii="仿宋" w:hAnsi="仿宋" w:cs="仿宋" w:eastAsia="仿宋"/>
                <w:sz w:val="20"/>
              </w:rPr>
              <w:t>≥4TB SATA 3.5</w:t>
            </w:r>
          </w:p>
          <w:p>
            <w:pPr>
              <w:pStyle w:val="null3"/>
              <w:jc w:val="both"/>
            </w:pPr>
            <w:r>
              <w:rPr>
                <w:rFonts w:ascii="仿宋" w:hAnsi="仿宋" w:cs="仿宋" w:eastAsia="仿宋"/>
                <w:sz w:val="20"/>
              </w:rPr>
              <w:t>网卡</w:t>
            </w:r>
            <w:r>
              <w:rPr>
                <w:rFonts w:ascii="仿宋" w:hAnsi="仿宋" w:cs="仿宋" w:eastAsia="仿宋"/>
                <w:sz w:val="20"/>
              </w:rPr>
              <w:t>≥双电口千兆网卡</w:t>
            </w:r>
          </w:p>
          <w:p>
            <w:pPr>
              <w:pStyle w:val="null3"/>
              <w:jc w:val="both"/>
            </w:pPr>
            <w:r>
              <w:rPr>
                <w:rFonts w:ascii="仿宋" w:hAnsi="仿宋" w:cs="仿宋" w:eastAsia="仿宋"/>
                <w:sz w:val="20"/>
              </w:rPr>
              <w:t>HBA卡≥双口16G HBA卡（接存储用）</w:t>
            </w:r>
          </w:p>
          <w:p>
            <w:pPr>
              <w:pStyle w:val="null3"/>
              <w:jc w:val="both"/>
            </w:pPr>
            <w:r>
              <w:rPr>
                <w:rFonts w:ascii="仿宋" w:hAnsi="仿宋" w:cs="仿宋" w:eastAsia="仿宋"/>
                <w:sz w:val="20"/>
              </w:rPr>
              <w:t>冗余电源</w:t>
            </w:r>
          </w:p>
          <w:p>
            <w:pPr>
              <w:pStyle w:val="null3"/>
              <w:jc w:val="both"/>
            </w:pPr>
            <w:r>
              <w:rPr>
                <w:rFonts w:ascii="仿宋" w:hAnsi="仿宋" w:cs="仿宋" w:eastAsia="仿宋"/>
                <w:sz w:val="20"/>
              </w:rPr>
              <w:t>附件：机架式导轨</w:t>
            </w:r>
          </w:p>
          <w:p>
            <w:pPr>
              <w:pStyle w:val="null3"/>
              <w:jc w:val="both"/>
            </w:pPr>
            <w:r>
              <w:rPr>
                <w:rFonts w:ascii="仿宋" w:hAnsi="仿宋" w:cs="仿宋" w:eastAsia="仿宋"/>
                <w:sz w:val="20"/>
              </w:rPr>
              <w:t>服务：三年免费整机硬件保修</w:t>
            </w:r>
            <w:r>
              <w:rPr>
                <w:rFonts w:ascii="仿宋" w:hAnsi="仿宋" w:cs="仿宋" w:eastAsia="仿宋"/>
                <w:sz w:val="20"/>
              </w:rPr>
              <w:t>。</w:t>
            </w:r>
          </w:p>
          <w:p>
            <w:pPr>
              <w:pStyle w:val="null3"/>
              <w:jc w:val="both"/>
            </w:pPr>
            <w:r>
              <w:rPr>
                <w:rFonts w:ascii="仿宋" w:hAnsi="仿宋" w:cs="仿宋" w:eastAsia="仿宋"/>
                <w:sz w:val="20"/>
              </w:rPr>
              <w:t>②存储要求：</w:t>
            </w:r>
          </w:p>
          <w:p>
            <w:pPr>
              <w:pStyle w:val="null3"/>
              <w:jc w:val="both"/>
            </w:pPr>
            <w:r>
              <w:rPr>
                <w:rFonts w:ascii="仿宋" w:hAnsi="仿宋" w:cs="仿宋" w:eastAsia="仿宋"/>
                <w:sz w:val="20"/>
              </w:rPr>
              <w:t>双冗余控制器</w:t>
            </w:r>
            <w:r>
              <w:rPr>
                <w:rFonts w:ascii="仿宋" w:hAnsi="仿宋" w:cs="仿宋" w:eastAsia="仿宋"/>
                <w:sz w:val="20"/>
              </w:rPr>
              <w:t>,标配32GB缓存.标配≥2个16Gb+2个1Gb主机接口，HDD 4T SAS 12Gbps 7.2Krpm 3.5</w:t>
            </w:r>
            <w:r>
              <w:rPr>
                <w:rFonts w:ascii="仿宋" w:hAnsi="仿宋" w:cs="仿宋" w:eastAsia="仿宋"/>
                <w:sz w:val="20"/>
              </w:rPr>
              <w:t>英寸</w:t>
            </w:r>
            <w:r>
              <w:rPr>
                <w:rFonts w:ascii="仿宋" w:hAnsi="仿宋" w:cs="仿宋" w:eastAsia="仿宋"/>
                <w:sz w:val="20"/>
              </w:rPr>
              <w:t>*8</w:t>
            </w:r>
            <w:r>
              <w:rPr>
                <w:rFonts w:ascii="仿宋" w:hAnsi="仿宋" w:cs="仿宋" w:eastAsia="仿宋"/>
                <w:sz w:val="20"/>
              </w:rPr>
              <w:t>块盘</w:t>
            </w:r>
            <w:r>
              <w:rPr>
                <w:rFonts w:ascii="仿宋" w:hAnsi="仿宋" w:cs="仿宋" w:eastAsia="仿宋"/>
                <w:sz w:val="20"/>
              </w:rPr>
              <w:t>;冗余电源;</w:t>
            </w:r>
          </w:p>
          <w:p>
            <w:pPr>
              <w:pStyle w:val="null3"/>
              <w:jc w:val="both"/>
            </w:pPr>
            <w:r>
              <w:rPr>
                <w:rFonts w:ascii="仿宋" w:hAnsi="仿宋" w:cs="仿宋" w:eastAsia="仿宋"/>
                <w:sz w:val="20"/>
              </w:rPr>
              <w:t>服务：三年免费整机硬件保修</w:t>
            </w:r>
            <w:r>
              <w:rPr>
                <w:rFonts w:ascii="仿宋" w:hAnsi="仿宋" w:cs="仿宋" w:eastAsia="仿宋"/>
                <w:sz w:val="20"/>
              </w:rPr>
              <w:t>。</w:t>
            </w:r>
          </w:p>
          <w:p>
            <w:pPr>
              <w:pStyle w:val="null3"/>
              <w:jc w:val="both"/>
            </w:pP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软件部分自合同签订之日起120日安装调试完毕，硬件部分自合同签订之日起30日供货安装调试完毕。</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详见采购合同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验收合格后，支付尾款</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详见采购合同</w:t>
      </w:r>
    </w:p>
    <w:p>
      <w:pPr>
        <w:pStyle w:val="null3"/>
        <w:outlineLvl w:val="2"/>
      </w:pPr>
      <w:r>
        <w:rPr>
          <w:b/>
          <w:sz w:val="28"/>
        </w:rPr>
        <w:t>3.4其他要求</w:t>
      </w:r>
    </w:p>
    <w:p>
      <w:pPr>
        <w:pStyle w:val="null3"/>
      </w:pPr>
      <w:r>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2、质量要求：软硬件需要满足采购人要求。3、软件部分安装调试完毕并通过验收合格后，进入运维期免费运维一年；硬件部分供货安装调试完毕并验收合格后，进入质保期免费质保三年。4.本项目包含部分硬件产品国产服务器及存储硬盘行业划分为工业，其余软件部分行业划分为软件和信息技术服务业。</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（1）根据投标供应商类别进行提供： 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2022或2023年度经审计的财务报告（成立时间至提交磋商响应文件截止时间不足一年的可提供成立后任意时段的资产负债表），或磋商响应文件递交截止日前六个月内银行出具的资信证明；(3)提供磋商响应文件递交截止日前一年内已缴存的至少一个月的社会保障资金缴存单据或社保机构开具的社会保险参保缴费情况证明，依法不需要缴纳社会保障资金的单位应提供相关证明材料；(4)提供磋商响应文件递交截止日前一年内已缴纳的至少一个月的纳税证明或完税证明，依法免税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响应文件封面 资格证明文件 中小企业声明函 残疾人福利性单位声明函 分包协议范本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t>响应文件封面 资格证明文件 中小企业声明函 残疾人福利性单位声明函 分包协议范本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要求获得采购合同的供应商将78.37%分包给一家或多家中小企业或参与的供应商（联合体）服务全部由符合政策要求的中小企业承接。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 xml:space="preserve"> 法定代表人授权书（法定代表人直接参加磋商，须提供法定代表人身份证明）；</w:t>
            </w:r>
          </w:p>
        </w:tc>
        <w:tc>
          <w:tcPr>
            <w:tcW w:type="dxa" w:w="1661"/>
          </w:tcPr>
          <w:p>
            <w:pPr>
              <w:pStyle w:val="null3"/>
            </w:pPr>
            <w:r>
              <w:rPr/>
              <w:t>响应文件封面 资格证明文件 分项报价表 中小企业声明函 残疾人福利性单位声明函 分包协议范本 报价表 响应函 监狱企业的证明文件</w:t>
            </w:r>
          </w:p>
        </w:tc>
      </w:tr>
      <w:tr>
        <w:tc>
          <w:tcPr>
            <w:tcW w:type="dxa" w:w="831"/>
          </w:tcPr>
          <w:p>
            <w:pPr>
              <w:pStyle w:val="null3"/>
            </w:pPr>
            <w:r>
              <w:rPr/>
              <w:t>2</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中小企业预留政策</w:t>
            </w:r>
          </w:p>
        </w:tc>
        <w:tc>
          <w:tcPr>
            <w:tcW w:type="dxa" w:w="3322"/>
          </w:tcPr>
          <w:p>
            <w:pPr>
              <w:pStyle w:val="null3"/>
            </w:pPr>
            <w:r>
              <w:rPr/>
              <w:t>预留合同总额的78.37%为专门面向中小企业采购。专门面向中小企业采购的部分，应不低于总合同额的78.37%，预留合同总额21.63%为非专门面向中小企业。提供供应商加盖公章的中小企业声明函及分项报价表；若企业性质属于大型， 必须将不低于合同总额的78.37%分包给中小企业，须在响应文件中提供与拟分包企业签订的分包意向协议、中小企业声明函。</w:t>
            </w:r>
          </w:p>
        </w:tc>
        <w:tc>
          <w:tcPr>
            <w:tcW w:type="dxa" w:w="1661"/>
          </w:tcPr>
          <w:p>
            <w:pPr>
              <w:pStyle w:val="null3"/>
            </w:pPr>
            <w:r>
              <w:rPr/>
              <w:t>资格证明文件 分项报价表 中小企业声明函 残疾人福利性单位声明函 分包协议范本 标的清单 响应函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分项报价表 中小企业声明函 残疾人福利性单位声明函 技术方案 规格、技术参数偏离表 报价表 响应函 商务条款偏离表 监狱企业的证明文件</w:t>
            </w:r>
          </w:p>
        </w:tc>
      </w:tr>
      <w:tr>
        <w:tc>
          <w:tcPr>
            <w:tcW w:type="dxa" w:w="831"/>
          </w:tcPr>
          <w:p>
            <w:pPr>
              <w:pStyle w:val="null3"/>
            </w:pPr>
            <w:r>
              <w:rPr/>
              <w:t>2</w:t>
            </w:r>
          </w:p>
        </w:tc>
        <w:tc>
          <w:tcPr>
            <w:tcW w:type="dxa" w:w="2492"/>
          </w:tcPr>
          <w:p>
            <w:pPr>
              <w:pStyle w:val="null3"/>
            </w:pPr>
            <w:r>
              <w:rPr/>
              <w:t>响应文件内容</w:t>
            </w:r>
          </w:p>
        </w:tc>
        <w:tc>
          <w:tcPr>
            <w:tcW w:type="dxa" w:w="3322"/>
          </w:tcPr>
          <w:p>
            <w:pPr>
              <w:pStyle w:val="null3"/>
            </w:pPr>
            <w:r>
              <w:rPr/>
              <w:t>磋商响应文件内容齐全、无遗漏</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应符合磋商文件的要求</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r>
        <w:tc>
          <w:tcPr>
            <w:tcW w:type="dxa" w:w="831"/>
          </w:tcPr>
          <w:p>
            <w:pPr>
              <w:pStyle w:val="null3"/>
            </w:pPr>
            <w:r>
              <w:rPr/>
              <w:t>6</w:t>
            </w:r>
          </w:p>
        </w:tc>
        <w:tc>
          <w:tcPr>
            <w:tcW w:type="dxa" w:w="2492"/>
          </w:tcPr>
          <w:p>
            <w:pPr>
              <w:pStyle w:val="null3"/>
            </w:pPr>
            <w:r>
              <w:rPr/>
              <w:t>质量</w:t>
            </w:r>
          </w:p>
        </w:tc>
        <w:tc>
          <w:tcPr>
            <w:tcW w:type="dxa" w:w="3322"/>
          </w:tcPr>
          <w:p>
            <w:pPr>
              <w:pStyle w:val="null3"/>
            </w:pPr>
            <w:r>
              <w:rPr/>
              <w:t>应符合磋商文件的要求</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应符合磋商文件的要求</w:t>
            </w:r>
          </w:p>
        </w:tc>
        <w:tc>
          <w:tcPr>
            <w:tcW w:type="dxa" w:w="1661"/>
          </w:tcPr>
          <w:p>
            <w:pPr>
              <w:pStyle w:val="null3"/>
            </w:pPr>
            <w:r>
              <w:rPr/>
              <w:t>分项报价表 中小企业声明函 分包协议范本 技术方案 规格、技术参数偏离表 报价表 商务条款偏离表 业绩一览表 响应文件封面 资格证明文件 残疾人福利性单位声明函 标的清单 陕西省政府采购供应商拒绝政府采购领域商业贿赂承诺书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对项目背景与工作目标的解读与理解</w:t>
            </w:r>
          </w:p>
        </w:tc>
        <w:tc>
          <w:tcPr>
            <w:tcW w:type="dxa" w:w="2492"/>
          </w:tcPr>
          <w:p>
            <w:pPr>
              <w:pStyle w:val="null3"/>
            </w:pPr>
            <w:r>
              <w:rPr/>
              <w:t>（对本次项目建设背景、建设内容、建设目标，建设思路的理解程度） 具有相关项目经验，且对本项目背景和工作目标熟悉、了解到位得6-10分； 了解和熟悉情况较好3-6分； 了解、熟悉情况一般得0-3分。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总体架构</w:t>
            </w:r>
          </w:p>
        </w:tc>
        <w:tc>
          <w:tcPr>
            <w:tcW w:type="dxa" w:w="2492"/>
          </w:tcPr>
          <w:p>
            <w:pPr>
              <w:pStyle w:val="null3"/>
            </w:pPr>
            <w:r>
              <w:rPr/>
              <w:t>（系统架构、数据架构、技术路线、关键技术、部署架构、安全设计等方面） 思路清晰、合理、可行，对项目实施具有较强的指导作用得6-10分； 思路基本清晰、具有一定的合理性和可行性，对项目实施有一定指导作用的得 3-6分； 服务方案思路不清晰、合理性和可行性较差，影响项目实施的得0-3分。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产品选型配置</w:t>
            </w:r>
          </w:p>
        </w:tc>
        <w:tc>
          <w:tcPr>
            <w:tcW w:type="dxa" w:w="2492"/>
          </w:tcPr>
          <w:p>
            <w:pPr>
              <w:pStyle w:val="null3"/>
            </w:pPr>
            <w:r>
              <w:rPr/>
              <w:t>（符合磋商文件要求，对各项都进行明确响应，得基本分5分。与磋商文件要求有非实质性负偏离的，每有一项在基本分基础上扣1分，扣完为止。技术要求响应优于磋商文件要求的，根据响应文件的优于程度计1-3，本项满分8分，需提供相应的功能证明材料包含但不限于官网截图，技术说明书，检测资料等。</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商务条款偏离表</w:t>
            </w:r>
          </w:p>
        </w:tc>
      </w:tr>
      <w:tr>
        <w:tc>
          <w:tcPr>
            <w:tcW w:type="dxa" w:w="831"/>
            <w:vMerge/>
          </w:tcPr>
          <w:p/>
        </w:tc>
        <w:tc>
          <w:tcPr>
            <w:tcW w:type="dxa" w:w="1661"/>
          </w:tcPr>
          <w:p>
            <w:pPr>
              <w:pStyle w:val="null3"/>
            </w:pPr>
            <w:r>
              <w:rPr/>
              <w:t>功能设计</w:t>
            </w:r>
          </w:p>
        </w:tc>
        <w:tc>
          <w:tcPr>
            <w:tcW w:type="dxa" w:w="2492"/>
          </w:tcPr>
          <w:p>
            <w:pPr>
              <w:pStyle w:val="null3"/>
            </w:pPr>
            <w:r>
              <w:rPr/>
              <w:t>系统设计方案完整，且系统功能设计详细、合理可行，得7-10分； 系统设计方案较完整，系统功能设计粗略笼统、缺乏可实施性，得4-7分；系统设计方案差、或设计不合理的，得0-4分。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商务条款偏离表</w:t>
            </w:r>
          </w:p>
        </w:tc>
      </w:tr>
      <w:tr>
        <w:tc>
          <w:tcPr>
            <w:tcW w:type="dxa" w:w="831"/>
            <w:vMerge/>
          </w:tcPr>
          <w:p/>
        </w:tc>
        <w:tc>
          <w:tcPr>
            <w:tcW w:type="dxa" w:w="1661"/>
          </w:tcPr>
          <w:p>
            <w:pPr>
              <w:pStyle w:val="null3"/>
            </w:pPr>
            <w:r>
              <w:rPr/>
              <w:t>质量控制方案</w:t>
            </w:r>
          </w:p>
        </w:tc>
        <w:tc>
          <w:tcPr>
            <w:tcW w:type="dxa" w:w="2492"/>
          </w:tcPr>
          <w:p>
            <w:pPr>
              <w:pStyle w:val="null3"/>
            </w:pPr>
            <w:r>
              <w:rPr/>
              <w:t>内容完整、详实可行，有针对性和可操作性得 6-8分； 内容较完整详细、基本符合采购需求得 3-6分； 方案欠佳、可行性差得 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商务条款偏离表</w:t>
            </w:r>
          </w:p>
          <w:p>
            <w:pPr>
              <w:pStyle w:val="null3"/>
            </w:pPr>
            <w:r>
              <w:rPr/>
              <w:t>业绩一览表</w:t>
            </w:r>
          </w:p>
          <w:p>
            <w:pPr>
              <w:pStyle w:val="null3"/>
            </w:pPr>
            <w:r>
              <w:rPr/>
              <w:t>分项报价表</w:t>
            </w:r>
          </w:p>
        </w:tc>
      </w:tr>
      <w:tr>
        <w:tc>
          <w:tcPr>
            <w:tcW w:type="dxa" w:w="831"/>
            <w:vMerge/>
          </w:tcPr>
          <w:p/>
        </w:tc>
        <w:tc>
          <w:tcPr>
            <w:tcW w:type="dxa" w:w="1661"/>
          </w:tcPr>
          <w:p>
            <w:pPr>
              <w:pStyle w:val="null3"/>
            </w:pPr>
            <w:r>
              <w:rPr/>
              <w:t>进度控制方案</w:t>
            </w:r>
          </w:p>
        </w:tc>
        <w:tc>
          <w:tcPr>
            <w:tcW w:type="dxa" w:w="2492"/>
          </w:tcPr>
          <w:p>
            <w:pPr>
              <w:pStyle w:val="null3"/>
            </w:pPr>
            <w:r>
              <w:rPr/>
              <w:t>方案完整，合理可行，得6-8分； 方案较完整，合理性及针对性一般，得3-6分； 方案不完整，合理性及可行性差，得 0-3分。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（包括培训对象分析、培训方式设计、培训内容设计、培训计划制定、培训质量保证措施等） 方案完整，合理可行，得6-8分； 方案较完整，合理性及针对性一般，得3-6分；方案不完整，合理性及可行性差，得 0-3分。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售后服务方案</w:t>
            </w:r>
          </w:p>
        </w:tc>
        <w:tc>
          <w:tcPr>
            <w:tcW w:type="dxa" w:w="2492"/>
          </w:tcPr>
          <w:p>
            <w:pPr>
              <w:pStyle w:val="null3"/>
            </w:pPr>
            <w:r>
              <w:rPr/>
              <w:t xml:space="preserve"> 方案完整，合理可行，得3-4分； 方案较完整，合理性及针对性一般，得1-3分； 方案不完整，合理性及可行性差，得 0-1分。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后续运行维护</w:t>
            </w:r>
          </w:p>
        </w:tc>
        <w:tc>
          <w:tcPr>
            <w:tcW w:type="dxa" w:w="2492"/>
          </w:tcPr>
          <w:p>
            <w:pPr>
              <w:pStyle w:val="null3"/>
            </w:pPr>
            <w:r>
              <w:rPr/>
              <w:t>投标供应商针对本项目提供详细具体的质保期结束后的后续运行维护方案，包括但不限于维保费的收取比例（在投标价的基础上进行计算）、 维保范围、维保的质量保证措施、 技术人员的确保、软件升级等。提供内容全面、具有可行性，收取比例符合市场发展规律，计0-4分。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项目组人员组成</w:t>
            </w:r>
          </w:p>
        </w:tc>
        <w:tc>
          <w:tcPr>
            <w:tcW w:type="dxa" w:w="2492"/>
          </w:tcPr>
          <w:p>
            <w:pPr>
              <w:pStyle w:val="null3"/>
            </w:pPr>
            <w:r>
              <w:rPr/>
              <w:t>项目组人员专业技术搭配合理、人员配备方案详实可行，分工合理，职责清晰明确，针对性强得7-10分； 项目组人员搭配较合理、人员配备方案较清晰，职责分工较明确得4-7分；项目组人员搭配不合理、人员配备方案差，针对性差得0-4分； （以上人员须提供磋商响应文件递交截止时间前一年内任意连续三个月的社保缴纳证明及相关证书复印件或聘书复印件，否则不作为评审依据）</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商务条款偏离表</w:t>
            </w:r>
          </w:p>
          <w:p>
            <w:pPr>
              <w:pStyle w:val="null3"/>
            </w:pPr>
            <w:r>
              <w:rPr/>
              <w:t>业绩一览表</w:t>
            </w:r>
          </w:p>
        </w:tc>
      </w:tr>
      <w:tr>
        <w:tc>
          <w:tcPr>
            <w:tcW w:type="dxa" w:w="831"/>
            <w:vMerge/>
          </w:tcPr>
          <w:p/>
        </w:tc>
        <w:tc>
          <w:tcPr>
            <w:tcW w:type="dxa" w:w="1661"/>
          </w:tcPr>
          <w:p>
            <w:pPr>
              <w:pStyle w:val="null3"/>
            </w:pPr>
            <w:r>
              <w:rPr/>
              <w:t>业绩</w:t>
            </w:r>
          </w:p>
        </w:tc>
        <w:tc>
          <w:tcPr>
            <w:tcW w:type="dxa" w:w="2492"/>
          </w:tcPr>
          <w:p>
            <w:pPr>
              <w:pStyle w:val="null3"/>
            </w:pPr>
            <w:r>
              <w:rPr/>
              <w:t>具有2021年04月01日至今（以合同签订日期为准）类似项目业绩，每个有效业绩得1分，满分5分；（须提供合同首页、签字盖章页等关键、非敏感页复印件，并加盖投标供应商公章）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2.满足磋商文件实质性要求且最终报价最低的供应商的价格为磋商基准价，其价格分为满分15分。 3.磋商总报价得分=(磋商基准价／最终磋商总报价)×15 注：1、计算分数时四舍五入取小数点后两位；</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分包协议范本</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分包协议范本 标的清单 报价表</w:t>
            </w:r>
          </w:p>
        </w:tc>
      </w:tr>
      <w:tr>
        <w:tc>
          <w:tcPr>
            <w:tcW w:type="dxa" w:w="831"/>
          </w:tcPr>
          <w:p>
            <w:pPr>
              <w:pStyle w:val="null3"/>
            </w:pPr>
            <w:r>
              <w:rPr/>
              <w:t>2</w:t>
            </w:r>
          </w:p>
        </w:tc>
        <w:tc>
          <w:tcPr>
            <w:tcW w:type="dxa" w:w="1661"/>
          </w:tcPr>
          <w:p>
            <w:pPr>
              <w:pStyle w:val="null3"/>
            </w:pPr>
            <w:r>
              <w:rPr/>
              <w:t>小型、微型企业，监狱企业，残疾人福利性单位</w:t>
            </w:r>
          </w:p>
        </w:tc>
        <w:tc>
          <w:tcPr>
            <w:tcW w:type="dxa" w:w="1661"/>
          </w:tcPr>
          <w:p>
            <w:pPr>
              <w:pStyle w:val="null3"/>
            </w:pPr>
            <w:r>
              <w:rPr/>
              <w:t>联合协议或者分包意向协议约定小型、微型企业的合同份额占到合同总金额30%以上</w:t>
            </w:r>
          </w:p>
        </w:tc>
        <w:tc>
          <w:tcPr>
            <w:tcW w:type="dxa" w:w="831"/>
          </w:tcPr>
          <w:p>
            <w:pPr>
              <w:pStyle w:val="null3"/>
              <w:jc w:val="right"/>
            </w:pPr>
            <w:r>
              <w:rPr/>
              <w:t>4.00%</w:t>
            </w:r>
          </w:p>
        </w:tc>
        <w:tc>
          <w:tcPr>
            <w:tcW w:type="dxa" w:w="1661"/>
          </w:tcPr>
          <w:p>
            <w:pPr>
              <w:pStyle w:val="null3"/>
            </w:pPr>
            <w:r>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分包协议范本 标的清单 报价表</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详见附件：分包协议范本</w:t>
      </w:r>
    </w:p>
    <w:p>
      <w:pPr>
        <w:pStyle w:val="null3"/>
        <w:ind w:firstLine="960"/>
      </w:pPr>
      <w:r>
        <w:rPr/>
        <w:t>详见附件：分项报价表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详见附件：陕西省政府采购供应商拒绝政府采购领域商业贿赂承诺书</w:t>
      </w:r>
    </w:p>
    <w:p>
      <w:pPr>
        <w:pStyle w:val="null3"/>
        <w:ind w:firstLine="960"/>
      </w:pPr>
      <w:r>
        <w:rPr/>
        <w:t>详见附件：商务条款偏离表</w:t>
      </w:r>
    </w:p>
    <w:p>
      <w:pPr>
        <w:pStyle w:val="null3"/>
        <w:ind w:firstLine="960"/>
      </w:pPr>
      <w:r>
        <w:rPr/>
        <w:t>详见附件：业绩一览表</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