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beforeLines="100" w:after="240" w:afterLines="100"/>
        <w:jc w:val="center"/>
        <w:rPr>
          <w:rFonts w:hint="eastAsia" w:ascii="宋体" w:eastAsia="宋体" w:cs="宋体"/>
          <w:bCs/>
          <w:sz w:val="36"/>
          <w:szCs w:val="36"/>
          <w:highlight w:val="none"/>
          <w:lang w:val="en-US" w:eastAsia="zh-CN"/>
        </w:rPr>
      </w:pPr>
    </w:p>
    <w:p>
      <w:pPr>
        <w:pStyle w:val="3"/>
        <w:numPr>
          <w:ilvl w:val="0"/>
          <w:numId w:val="0"/>
        </w:numPr>
        <w:spacing w:before="240" w:beforeLines="100" w:after="240" w:afterLines="100"/>
        <w:jc w:val="center"/>
        <w:rPr>
          <w:rFonts w:hint="eastAsia" w:ascii="宋体" w:eastAsia="宋体" w:cs="宋体"/>
          <w:bCs/>
          <w:sz w:val="36"/>
          <w:szCs w:val="36"/>
          <w:highlight w:val="none"/>
          <w:lang w:val="en-US" w:eastAsia="zh-CN"/>
        </w:rPr>
      </w:pPr>
    </w:p>
    <w:p>
      <w:pPr>
        <w:pStyle w:val="3"/>
        <w:numPr>
          <w:ilvl w:val="0"/>
          <w:numId w:val="0"/>
        </w:numPr>
        <w:spacing w:before="240" w:beforeLines="100" w:after="240" w:afterLines="100"/>
        <w:jc w:val="both"/>
        <w:rPr>
          <w:rFonts w:hint="eastAsia" w:ascii="宋体" w:eastAsia="宋体" w:cs="宋体"/>
          <w:bCs/>
          <w:sz w:val="36"/>
          <w:szCs w:val="36"/>
          <w:highlight w:val="none"/>
          <w:lang w:val="en-US" w:eastAsia="zh-CN"/>
        </w:rPr>
      </w:pPr>
    </w:p>
    <w:p>
      <w:pPr>
        <w:pStyle w:val="3"/>
        <w:numPr>
          <w:ilvl w:val="0"/>
          <w:numId w:val="0"/>
        </w:numPr>
        <w:spacing w:before="240" w:beforeLines="100" w:after="240" w:afterLines="100"/>
        <w:jc w:val="center"/>
        <w:rPr>
          <w:rFonts w:hint="eastAsia" w:ascii="宋体" w:eastAsia="宋体" w:cs="宋体"/>
          <w:bCs/>
          <w:sz w:val="72"/>
          <w:szCs w:val="72"/>
          <w:highlight w:val="none"/>
          <w:lang w:val="en-US" w:eastAsia="zh-CN"/>
        </w:rPr>
      </w:pPr>
      <w:r>
        <w:rPr>
          <w:rFonts w:hint="eastAsia" w:ascii="宋体" w:eastAsia="宋体" w:cs="宋体"/>
          <w:bCs/>
          <w:sz w:val="72"/>
          <w:szCs w:val="72"/>
          <w:highlight w:val="none"/>
          <w:lang w:val="en-US" w:eastAsia="zh-CN"/>
        </w:rPr>
        <w:t>分包协议</w:t>
      </w:r>
    </w:p>
    <w:p>
      <w:pPr>
        <w:pStyle w:val="3"/>
        <w:numPr>
          <w:ilvl w:val="0"/>
          <w:numId w:val="0"/>
        </w:numPr>
        <w:spacing w:before="240" w:beforeLines="100" w:after="240" w:afterLines="100"/>
        <w:jc w:val="center"/>
        <w:rPr>
          <w:rFonts w:hint="default" w:ascii="宋体" w:hAnsi="宋体" w:eastAsia="宋体" w:cs="宋体"/>
          <w:sz w:val="24"/>
          <w:highlight w:val="none"/>
          <w:lang w:val="en-US" w:eastAsia="zh-CN"/>
        </w:rPr>
      </w:pPr>
      <w:r>
        <w:rPr>
          <w:rFonts w:hint="eastAsia" w:hAnsi="宋体" w:cs="宋体"/>
          <w:sz w:val="30"/>
          <w:szCs w:val="30"/>
          <w:highlight w:val="none"/>
          <w:lang w:val="en-US" w:eastAsia="zh-CN"/>
        </w:rPr>
        <w:t>（可参考本模板也可自行拟定，分包协议中小企业比例不低于78.37%）</w:t>
      </w:r>
    </w:p>
    <w:p>
      <w:pPr>
        <w:pStyle w:val="2"/>
        <w:rPr>
          <w:rFonts w:hint="eastAsia" w:ascii="宋体" w:hAnsi="宋体" w:eastAsia="宋体" w:cs="宋体"/>
          <w:sz w:val="24"/>
          <w:highlight w:val="none"/>
        </w:rPr>
      </w:pPr>
    </w:p>
    <w:p>
      <w:pPr>
        <w:pStyle w:val="2"/>
        <w:rPr>
          <w:rFonts w:hint="eastAsia" w:ascii="宋体" w:hAnsi="宋体" w:eastAsia="宋体" w:cs="宋体"/>
          <w:sz w:val="24"/>
          <w:highlight w:val="none"/>
        </w:rPr>
      </w:pPr>
    </w:p>
    <w:p>
      <w:pPr>
        <w:snapToGrid w:val="0"/>
        <w:spacing w:line="480" w:lineRule="auto"/>
        <w:ind w:firstLine="2530" w:firstLineChars="900"/>
        <w:jc w:val="both"/>
        <w:rPr>
          <w:rFonts w:hint="eastAsia" w:ascii="宋体" w:hAnsi="宋体" w:eastAsia="宋体" w:cs="宋体"/>
          <w:b/>
          <w:bCs/>
          <w:sz w:val="28"/>
          <w:szCs w:val="22"/>
          <w:highlight w:val="none"/>
        </w:rPr>
      </w:pPr>
    </w:p>
    <w:p>
      <w:pPr>
        <w:snapToGrid w:val="0"/>
        <w:spacing w:line="480" w:lineRule="auto"/>
        <w:ind w:left="2100" w:leftChars="0" w:firstLine="420" w:firstLineChars="0"/>
        <w:jc w:val="both"/>
        <w:rPr>
          <w:rFonts w:hint="default" w:ascii="宋体" w:hAnsi="宋体" w:eastAsia="宋体" w:cs="宋体"/>
          <w:b/>
          <w:bCs/>
          <w:sz w:val="32"/>
          <w:szCs w:val="24"/>
          <w:highlight w:val="none"/>
          <w:u w:val="single"/>
          <w:lang w:val="en-US" w:eastAsia="zh-CN"/>
        </w:rPr>
      </w:pPr>
      <w:r>
        <w:rPr>
          <w:rFonts w:hint="eastAsia" w:ascii="宋体" w:hAnsi="宋体" w:eastAsia="宋体" w:cs="宋体"/>
          <w:b/>
          <w:bCs/>
          <w:sz w:val="32"/>
          <w:szCs w:val="24"/>
          <w:highlight w:val="none"/>
        </w:rPr>
        <w:t>甲方：</w:t>
      </w:r>
      <w:r>
        <w:rPr>
          <w:rFonts w:hint="eastAsia" w:hAnsi="宋体" w:cs="宋体"/>
          <w:b/>
          <w:bCs/>
          <w:sz w:val="32"/>
          <w:szCs w:val="24"/>
          <w:highlight w:val="none"/>
          <w:u w:val="single"/>
          <w:lang w:val="en-US" w:eastAsia="zh-CN"/>
        </w:rPr>
        <w:t xml:space="preserve">                  </w:t>
      </w:r>
    </w:p>
    <w:p>
      <w:pPr>
        <w:snapToGrid w:val="0"/>
        <w:spacing w:line="480" w:lineRule="auto"/>
        <w:ind w:left="2100" w:leftChars="0" w:firstLine="420" w:firstLineChars="0"/>
        <w:jc w:val="both"/>
        <w:rPr>
          <w:rFonts w:hint="default" w:hAnsi="宋体" w:cs="宋体"/>
          <w:b/>
          <w:bCs/>
          <w:sz w:val="32"/>
          <w:szCs w:val="24"/>
          <w:highlight w:val="none"/>
          <w:u w:val="single"/>
          <w:lang w:val="en-US" w:eastAsia="zh-CN"/>
        </w:rPr>
      </w:pPr>
      <w:r>
        <w:rPr>
          <w:rFonts w:hint="eastAsia" w:ascii="宋体" w:hAnsi="宋体" w:eastAsia="宋体" w:cs="宋体"/>
          <w:b/>
          <w:bCs/>
          <w:sz w:val="32"/>
          <w:szCs w:val="24"/>
          <w:highlight w:val="none"/>
        </w:rPr>
        <w:t>乙方：</w:t>
      </w:r>
      <w:r>
        <w:rPr>
          <w:rFonts w:hint="eastAsia" w:hAnsi="宋体" w:cs="宋体"/>
          <w:b/>
          <w:bCs/>
          <w:sz w:val="32"/>
          <w:szCs w:val="24"/>
          <w:highlight w:val="none"/>
          <w:u w:val="single"/>
          <w:lang w:val="en-US" w:eastAsia="zh-CN"/>
        </w:rPr>
        <w:t xml:space="preserve">                  </w:t>
      </w:r>
    </w:p>
    <w:p>
      <w:pPr>
        <w:snapToGrid w:val="0"/>
        <w:spacing w:line="480" w:lineRule="auto"/>
        <w:jc w:val="center"/>
        <w:rPr>
          <w:rFonts w:hint="eastAsia" w:ascii="宋体" w:hAnsi="宋体" w:eastAsia="宋体" w:cs="宋体"/>
          <w:b/>
          <w:bCs/>
          <w:i w:val="0"/>
          <w:iCs w:val="0"/>
          <w:kern w:val="2"/>
          <w:sz w:val="32"/>
          <w:szCs w:val="24"/>
          <w:highlight w:val="none"/>
          <w:u w:val="none"/>
          <w:lang w:val="en-US" w:eastAsia="zh-CN" w:bidi="ar-SA"/>
        </w:rPr>
        <w:sectPr>
          <w:pgSz w:w="11906" w:h="16838"/>
          <w:pgMar w:top="1417" w:right="1417" w:bottom="1417" w:left="1417" w:header="851" w:footer="992" w:gutter="0"/>
          <w:cols w:space="720" w:num="1"/>
          <w:docGrid w:type="lines" w:linePitch="312" w:charSpace="0"/>
        </w:sectPr>
      </w:pPr>
      <w:r>
        <w:rPr>
          <w:rFonts w:hint="eastAsia" w:ascii="宋体" w:hAnsi="宋体" w:eastAsia="宋体" w:cs="宋体"/>
          <w:b/>
          <w:bCs/>
          <w:i w:val="0"/>
          <w:iCs w:val="0"/>
          <w:kern w:val="2"/>
          <w:sz w:val="32"/>
          <w:szCs w:val="24"/>
          <w:highlight w:val="none"/>
          <w:u w:val="none"/>
          <w:lang w:val="en-US" w:eastAsia="zh-CN" w:bidi="ar-SA"/>
        </w:rPr>
        <w:t>202</w:t>
      </w:r>
      <w:r>
        <w:rPr>
          <w:rFonts w:hint="eastAsia" w:ascii="宋体" w:hAnsi="宋体" w:cs="宋体"/>
          <w:b/>
          <w:bCs/>
          <w:i w:val="0"/>
          <w:iCs w:val="0"/>
          <w:kern w:val="2"/>
          <w:sz w:val="32"/>
          <w:szCs w:val="24"/>
          <w:highlight w:val="none"/>
          <w:u w:val="none"/>
          <w:lang w:val="en-US" w:eastAsia="zh-CN" w:bidi="ar-SA"/>
        </w:rPr>
        <w:t>4</w:t>
      </w:r>
      <w:r>
        <w:rPr>
          <w:rFonts w:hint="eastAsia" w:ascii="宋体" w:hAnsi="宋体" w:eastAsia="宋体" w:cs="宋体"/>
          <w:b/>
          <w:bCs/>
          <w:i w:val="0"/>
          <w:iCs w:val="0"/>
          <w:kern w:val="2"/>
          <w:sz w:val="32"/>
          <w:szCs w:val="24"/>
          <w:highlight w:val="none"/>
          <w:u w:val="none"/>
          <w:lang w:val="en-US" w:eastAsia="zh-CN" w:bidi="ar-SA"/>
        </w:rPr>
        <w:t>年</w:t>
      </w:r>
      <w:r>
        <w:rPr>
          <w:rFonts w:hint="eastAsia" w:ascii="宋体" w:hAnsi="宋体" w:eastAsia="宋体" w:cs="宋体"/>
          <w:b/>
          <w:bCs/>
          <w:i w:val="0"/>
          <w:iCs w:val="0"/>
          <w:kern w:val="2"/>
          <w:sz w:val="32"/>
          <w:szCs w:val="24"/>
          <w:highlight w:val="none"/>
          <w:u w:val="single"/>
          <w:lang w:val="en-US" w:eastAsia="zh-CN" w:bidi="ar-SA"/>
        </w:rPr>
        <w:t xml:space="preserve">   </w:t>
      </w:r>
      <w:r>
        <w:rPr>
          <w:rFonts w:hint="eastAsia" w:ascii="宋体" w:hAnsi="宋体" w:eastAsia="宋体" w:cs="宋体"/>
          <w:b/>
          <w:bCs/>
          <w:i w:val="0"/>
          <w:iCs w:val="0"/>
          <w:kern w:val="2"/>
          <w:sz w:val="32"/>
          <w:szCs w:val="24"/>
          <w:highlight w:val="none"/>
          <w:u w:val="none"/>
          <w:lang w:val="en-US" w:eastAsia="zh-CN" w:bidi="ar-SA"/>
        </w:rPr>
        <w:t>月</w:t>
      </w:r>
      <w:r>
        <w:rPr>
          <w:rFonts w:hint="eastAsia" w:ascii="宋体" w:hAnsi="宋体" w:eastAsia="宋体" w:cs="宋体"/>
          <w:b/>
          <w:bCs/>
          <w:i w:val="0"/>
          <w:iCs w:val="0"/>
          <w:kern w:val="2"/>
          <w:sz w:val="32"/>
          <w:szCs w:val="24"/>
          <w:highlight w:val="none"/>
          <w:u w:val="single"/>
          <w:lang w:val="en-US" w:eastAsia="zh-CN" w:bidi="ar-SA"/>
        </w:rPr>
        <w:t xml:space="preserve">   </w:t>
      </w:r>
      <w:r>
        <w:rPr>
          <w:rFonts w:hint="eastAsia" w:ascii="宋体" w:hAnsi="宋体" w:eastAsia="宋体" w:cs="宋体"/>
          <w:b/>
          <w:bCs/>
          <w:i w:val="0"/>
          <w:iCs w:val="0"/>
          <w:kern w:val="2"/>
          <w:sz w:val="32"/>
          <w:szCs w:val="24"/>
          <w:highlight w:val="none"/>
          <w:u w:val="none"/>
          <w:lang w:val="en-US" w:eastAsia="zh-CN" w:bidi="ar-SA"/>
        </w:rPr>
        <w:t>日</w:t>
      </w:r>
    </w:p>
    <w:p>
      <w:pPr>
        <w:spacing w:line="360" w:lineRule="auto"/>
        <w:jc w:val="left"/>
        <w:rPr>
          <w:rFonts w:hint="eastAsia" w:ascii="宋体" w:hAnsi="宋体" w:eastAsia="宋体" w:cs="宋体"/>
          <w:b/>
          <w:szCs w:val="24"/>
          <w:highlight w:val="none"/>
        </w:rPr>
      </w:pP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甲方：</w:t>
      </w:r>
      <w:r>
        <w:rPr>
          <w:rFonts w:hint="eastAsia" w:asciiTheme="minorEastAsia" w:hAnsiTheme="minorEastAsia" w:eastAsiaTheme="minorEastAsia" w:cstheme="minorEastAsia"/>
          <w:sz w:val="24"/>
          <w:szCs w:val="24"/>
          <w:highlight w:val="none"/>
          <w:lang w:val="en-US" w:eastAsia="zh-CN"/>
        </w:rPr>
        <w:t xml:space="preserve"> </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乙方：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依据《中华人民共和国</w:t>
      </w:r>
      <w:r>
        <w:rPr>
          <w:rFonts w:hint="eastAsia" w:asciiTheme="minorEastAsia" w:hAnsiTheme="minorEastAsia" w:eastAsiaTheme="minorEastAsia" w:cstheme="minorEastAsia"/>
          <w:sz w:val="24"/>
          <w:szCs w:val="24"/>
          <w:highlight w:val="none"/>
          <w:lang w:val="en-US" w:eastAsia="zh-CN"/>
        </w:rPr>
        <w:t>民法典</w:t>
      </w:r>
      <w:r>
        <w:rPr>
          <w:rFonts w:hint="eastAsia" w:asciiTheme="minorEastAsia" w:hAnsiTheme="minorEastAsia" w:eastAsiaTheme="minorEastAsia" w:cstheme="minorEastAsia"/>
          <w:sz w:val="24"/>
          <w:szCs w:val="24"/>
          <w:highlight w:val="none"/>
        </w:rPr>
        <w:t>》及其他有关法律法规，遵循平等、自愿、公平和诚实信用的原则，甲、乙双方就</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相关事项达成一致意见，订立本合同。</w:t>
      </w:r>
    </w:p>
    <w:p>
      <w:pPr>
        <w:pStyle w:val="7"/>
        <w:pageBreakBefore w:val="0"/>
        <w:numPr>
          <w:ilvl w:val="0"/>
          <w:numId w:val="1"/>
        </w:numPr>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项目名称：</w:t>
      </w:r>
    </w:p>
    <w:p>
      <w:pPr>
        <w:pStyle w:val="7"/>
        <w:pageBreakBefore w:val="0"/>
        <w:numPr>
          <w:numId w:val="0"/>
        </w:numPr>
        <w:kinsoku/>
        <w:wordWrap/>
        <w:overflowPunct/>
        <w:topLinePunct w:val="0"/>
        <w:autoSpaceDE/>
        <w:autoSpaceDN/>
        <w:bidi w:val="0"/>
        <w:adjustRightInd/>
        <w:spacing w:line="360" w:lineRule="auto"/>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 xml:space="preserve">        分包内容：</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二、项目</w:t>
      </w:r>
      <w:r>
        <w:rPr>
          <w:rFonts w:hint="eastAsia" w:asciiTheme="minorEastAsia" w:hAnsiTheme="minorEastAsia" w:eastAsia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rPr>
        <w:t>期</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本项目</w:t>
      </w:r>
      <w:r>
        <w:rPr>
          <w:rFonts w:hint="eastAsia" w:asciiTheme="minorEastAsia" w:hAnsiTheme="minorEastAsia" w:eastAsia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rPr>
        <w:t>期</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供货期</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三</w:t>
      </w:r>
      <w:r>
        <w:rPr>
          <w:rFonts w:hint="eastAsia" w:asciiTheme="minorEastAsia" w:hAnsiTheme="minorEastAsia" w:eastAsiaTheme="minorEastAsia" w:cstheme="minorEastAsia"/>
          <w:sz w:val="24"/>
          <w:szCs w:val="24"/>
          <w:highlight w:val="none"/>
        </w:rPr>
        <w:t>、合同价款、结算与支付</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1、本合同总价款</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本合同总价款为RMB</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)，该合同总价包括承接甲方项目所承担的全过程的一切费用。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316"/>
        <w:gridCol w:w="1125"/>
        <w:gridCol w:w="947"/>
        <w:gridCol w:w="724"/>
        <w:gridCol w:w="988"/>
        <w:gridCol w:w="1161"/>
        <w:gridCol w:w="2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pPr>
              <w:pStyle w:val="7"/>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序号</w:t>
            </w:r>
          </w:p>
        </w:tc>
        <w:tc>
          <w:tcPr>
            <w:tcW w:w="1316" w:type="dxa"/>
            <w:noWrap w:val="0"/>
            <w:vAlign w:val="center"/>
          </w:tcPr>
          <w:p>
            <w:pPr>
              <w:pStyle w:val="7"/>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品目</w:t>
            </w:r>
            <w:r>
              <w:rPr>
                <w:rFonts w:hint="eastAsia" w:asciiTheme="minorEastAsia" w:hAnsiTheme="minorEastAsia" w:eastAsiaTheme="minorEastAsia" w:cstheme="minorEastAsia"/>
                <w:sz w:val="24"/>
                <w:szCs w:val="24"/>
                <w:highlight w:val="none"/>
              </w:rPr>
              <w:t>名称</w:t>
            </w:r>
          </w:p>
        </w:tc>
        <w:tc>
          <w:tcPr>
            <w:tcW w:w="1125" w:type="dxa"/>
            <w:noWrap w:val="0"/>
            <w:vAlign w:val="center"/>
          </w:tcPr>
          <w:p>
            <w:pPr>
              <w:pStyle w:val="7"/>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主要技术指标</w:t>
            </w:r>
          </w:p>
        </w:tc>
        <w:tc>
          <w:tcPr>
            <w:tcW w:w="947" w:type="dxa"/>
            <w:noWrap w:val="0"/>
            <w:vAlign w:val="center"/>
          </w:tcPr>
          <w:p>
            <w:pPr>
              <w:pStyle w:val="7"/>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单位</w:t>
            </w:r>
          </w:p>
        </w:tc>
        <w:tc>
          <w:tcPr>
            <w:tcW w:w="724" w:type="dxa"/>
            <w:noWrap w:val="0"/>
            <w:vAlign w:val="center"/>
          </w:tcPr>
          <w:p>
            <w:pPr>
              <w:pStyle w:val="7"/>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数量</w:t>
            </w:r>
          </w:p>
        </w:tc>
        <w:tc>
          <w:tcPr>
            <w:tcW w:w="988" w:type="dxa"/>
            <w:noWrap w:val="0"/>
            <w:vAlign w:val="center"/>
          </w:tcPr>
          <w:p>
            <w:pPr>
              <w:pStyle w:val="7"/>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单价（元）</w:t>
            </w:r>
          </w:p>
        </w:tc>
        <w:tc>
          <w:tcPr>
            <w:tcW w:w="1161" w:type="dxa"/>
            <w:noWrap w:val="0"/>
            <w:vAlign w:val="center"/>
          </w:tcPr>
          <w:p>
            <w:pPr>
              <w:pStyle w:val="7"/>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合价（元）</w:t>
            </w:r>
          </w:p>
        </w:tc>
        <w:tc>
          <w:tcPr>
            <w:tcW w:w="2089" w:type="dxa"/>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pPr>
              <w:pStyle w:val="7"/>
              <w:pageBreakBefore w:val="0"/>
              <w:kinsoku/>
              <w:wordWrap/>
              <w:overflowPunct/>
              <w:topLinePunct w:val="0"/>
              <w:autoSpaceDE/>
              <w:autoSpaceDN/>
              <w:bidi w:val="0"/>
              <w:adjustRightInd/>
              <w:spacing w:line="360" w:lineRule="auto"/>
              <w:ind w:left="0" w:leftChars="0" w:firstLine="0" w:firstLineChars="0"/>
              <w:jc w:val="center"/>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w:t>
            </w:r>
          </w:p>
        </w:tc>
        <w:tc>
          <w:tcPr>
            <w:tcW w:w="1316" w:type="dxa"/>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1125" w:type="dxa"/>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947" w:type="dxa"/>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724" w:type="dxa"/>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988" w:type="dxa"/>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1161" w:type="dxa"/>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2089" w:type="dxa"/>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pPr>
              <w:pStyle w:val="7"/>
              <w:pageBreakBefore w:val="0"/>
              <w:kinsoku/>
              <w:wordWrap/>
              <w:overflowPunct/>
              <w:topLinePunct w:val="0"/>
              <w:autoSpaceDE/>
              <w:autoSpaceDN/>
              <w:bidi w:val="0"/>
              <w:adjustRightInd/>
              <w:spacing w:line="360" w:lineRule="auto"/>
              <w:ind w:left="0" w:leftChars="0" w:firstLine="0" w:firstLineChars="0"/>
              <w:jc w:val="center"/>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w:t>
            </w:r>
          </w:p>
        </w:tc>
        <w:tc>
          <w:tcPr>
            <w:tcW w:w="1316" w:type="dxa"/>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1125" w:type="dxa"/>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947" w:type="dxa"/>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724" w:type="dxa"/>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988" w:type="dxa"/>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1161" w:type="dxa"/>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2089" w:type="dxa"/>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pPr>
              <w:pStyle w:val="7"/>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合计金额（元）</w:t>
            </w:r>
          </w:p>
        </w:tc>
        <w:tc>
          <w:tcPr>
            <w:tcW w:w="1125" w:type="dxa"/>
            <w:noWrap w:val="0"/>
            <w:vAlign w:val="center"/>
          </w:tcPr>
          <w:p>
            <w:pPr>
              <w:pStyle w:val="7"/>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大写</w:t>
            </w:r>
          </w:p>
        </w:tc>
        <w:tc>
          <w:tcPr>
            <w:tcW w:w="2659" w:type="dxa"/>
            <w:gridSpan w:val="3"/>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1161" w:type="dxa"/>
            <w:noWrap w:val="0"/>
            <w:vAlign w:val="center"/>
          </w:tcPr>
          <w:p>
            <w:pPr>
              <w:pStyle w:val="7"/>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小写</w:t>
            </w:r>
          </w:p>
        </w:tc>
        <w:tc>
          <w:tcPr>
            <w:tcW w:w="2089" w:type="dxa"/>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其它</w:t>
            </w:r>
          </w:p>
        </w:tc>
        <w:tc>
          <w:tcPr>
            <w:tcW w:w="7034" w:type="dxa"/>
            <w:gridSpan w:val="6"/>
            <w:noWrap w:val="0"/>
            <w:vAlign w:val="center"/>
          </w:tcPr>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r>
    </w:tbl>
    <w:p>
      <w:pPr>
        <w:pStyle w:val="7"/>
        <w:pageBreakBefore w:val="0"/>
        <w:kinsoku/>
        <w:wordWrap/>
        <w:overflowPunct/>
        <w:topLinePunct w:val="0"/>
        <w:autoSpaceDE/>
        <w:autoSpaceDN/>
        <w:bidi w:val="0"/>
        <w:adjustRightInd/>
        <w:spacing w:line="360" w:lineRule="auto"/>
        <w:ind w:left="0" w:leftChars="0"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2、支付方式</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2.1付款方式：</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3、结算方式</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3.1、凡因乙方报价漏项、误报等导致的费用差异均由乙方自行承担，且必须按合同约定继续履行此部分合同内容，结算时不予调整。</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3.2、有关部门验收合格后，办理结算手续。</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四</w:t>
      </w:r>
      <w:r>
        <w:rPr>
          <w:rFonts w:hint="eastAsia" w:asciiTheme="minorEastAsia" w:hAnsiTheme="minorEastAsia" w:eastAsiaTheme="minorEastAsia" w:cstheme="minorEastAsia"/>
          <w:sz w:val="24"/>
          <w:szCs w:val="24"/>
          <w:highlight w:val="none"/>
        </w:rPr>
        <w:t>、权利与义务</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（一）甲方的权利与义务</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1、甲方有权要求乙方</w:t>
      </w:r>
      <w:r>
        <w:rPr>
          <w:rFonts w:hint="eastAsia" w:asciiTheme="minorEastAsia" w:hAnsiTheme="minorEastAsia" w:eastAsia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rPr>
        <w:t>项目内容符合国家相关规范，符合国家验收标准，能够通过国家验收。</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2、甲方有权要求乙方配合甲方完成</w:t>
      </w:r>
      <w:r>
        <w:rPr>
          <w:rFonts w:hint="eastAsia" w:asciiTheme="minorEastAsia" w:hAnsiTheme="minorEastAsia" w:eastAsia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rPr>
        <w:t>内容的预验收工作以及正式验收工作。</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3、甲方有权要求乙方提供的产品所涉及的第三方权利进行免责。</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4、甲方有义务保证按合同所规定的内容及时间支付乙方相关费用。</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（二）乙方的权利与义务</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1、乙方应按本合同的规定完成系统升级改造，并保证系统正常运行。</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2、乙方有权要求甲方按照实施界面提供必要的施工条件。</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3、乙方有义务配合甲方参与项目的预验收、正式竣工验收工作，并确保所安装项目内容符合本项目质量标准。</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4、乙方项目负责人为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5、在系统验收时，向买方提供相关技术文件。</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五</w:t>
      </w:r>
      <w:r>
        <w:rPr>
          <w:rFonts w:hint="eastAsia" w:asciiTheme="minorEastAsia" w:hAnsiTheme="minorEastAsia" w:eastAsiaTheme="minorEastAsia" w:cstheme="minorEastAsia"/>
          <w:sz w:val="24"/>
          <w:szCs w:val="24"/>
          <w:highlight w:val="none"/>
        </w:rPr>
        <w:t>、质量要求、技术标准</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1、质量要求：严格执行国家及行业标准规范。</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六</w:t>
      </w:r>
      <w:r>
        <w:rPr>
          <w:rFonts w:hint="eastAsia" w:asciiTheme="minorEastAsia" w:hAnsiTheme="minorEastAsia" w:eastAsiaTheme="minorEastAsia" w:cstheme="minorEastAsia"/>
          <w:sz w:val="24"/>
          <w:szCs w:val="24"/>
          <w:highlight w:val="none"/>
        </w:rPr>
        <w:t>、服务要求</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w:t>
      </w:r>
      <w:r>
        <w:rPr>
          <w:rFonts w:hint="eastAsia" w:asciiTheme="minorEastAsia" w:hAnsiTheme="minorEastAsia" w:eastAsiaTheme="minorEastAsia" w:cstheme="minorEastAsia"/>
          <w:sz w:val="24"/>
          <w:szCs w:val="24"/>
          <w:highlight w:val="none"/>
          <w:lang w:eastAsia="zh-CN"/>
        </w:rPr>
        <w:t>服务</w:t>
      </w:r>
      <w:r>
        <w:rPr>
          <w:rFonts w:hint="eastAsia" w:asciiTheme="minorEastAsia" w:hAnsiTheme="minorEastAsia" w:eastAsiaTheme="minorEastAsia" w:cstheme="minorEastAsia"/>
          <w:sz w:val="24"/>
          <w:szCs w:val="24"/>
          <w:highlight w:val="none"/>
        </w:rPr>
        <w:t>周期：根据甲方要求。</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七</w:t>
      </w:r>
      <w:r>
        <w:rPr>
          <w:rFonts w:hint="eastAsia" w:asciiTheme="minorEastAsia" w:hAnsiTheme="minorEastAsia" w:eastAsiaTheme="minorEastAsia" w:cstheme="minorEastAsia"/>
          <w:sz w:val="24"/>
          <w:szCs w:val="24"/>
          <w:highlight w:val="none"/>
        </w:rPr>
        <w:t>、服务地点</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1、甲方指定地点。</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八</w:t>
      </w:r>
      <w:r>
        <w:rPr>
          <w:rFonts w:hint="eastAsia" w:asciiTheme="minorEastAsia" w:hAnsiTheme="minorEastAsia" w:eastAsiaTheme="minorEastAsia" w:cstheme="minorEastAsia"/>
          <w:sz w:val="24"/>
          <w:szCs w:val="24"/>
          <w:highlight w:val="none"/>
        </w:rPr>
        <w:t>、项目验收</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1、经甲方考评，考评合格后结算合同价款。</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九</w:t>
      </w:r>
      <w:r>
        <w:rPr>
          <w:rFonts w:hint="eastAsia" w:asciiTheme="minorEastAsia" w:hAnsiTheme="minorEastAsia" w:eastAsiaTheme="minorEastAsia" w:cstheme="minorEastAsia"/>
          <w:sz w:val="24"/>
          <w:szCs w:val="24"/>
          <w:highlight w:val="none"/>
        </w:rPr>
        <w:t>、保密条款</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三方</w:t>
      </w:r>
      <w:r>
        <w:rPr>
          <w:rFonts w:hint="eastAsia" w:asciiTheme="minorEastAsia" w:hAnsiTheme="minorEastAsia" w:eastAsiaTheme="minorEastAsia" w:cstheme="minorEastAsia"/>
          <w:sz w:val="24"/>
          <w:szCs w:val="24"/>
          <w:highlight w:val="none"/>
        </w:rPr>
        <w:t>承诺，除非法律另有规定或</w:t>
      </w:r>
      <w:r>
        <w:rPr>
          <w:rFonts w:hint="eastAsia" w:asciiTheme="minorEastAsia" w:hAnsiTheme="minorEastAsia" w:eastAsiaTheme="minorEastAsia" w:cstheme="minorEastAsia"/>
          <w:sz w:val="24"/>
          <w:szCs w:val="24"/>
          <w:highlight w:val="none"/>
          <w:lang w:eastAsia="zh-CN"/>
        </w:rPr>
        <w:t>三</w:t>
      </w:r>
      <w:r>
        <w:rPr>
          <w:rFonts w:hint="eastAsia" w:asciiTheme="minorEastAsia" w:hAnsiTheme="minorEastAsia" w:eastAsiaTheme="minorEastAsia" w:cstheme="minorEastAsia"/>
          <w:sz w:val="24"/>
          <w:szCs w:val="24"/>
          <w:highlight w:val="none"/>
        </w:rPr>
        <w:t>方一致同意，任何一方不得将本协议的内容向第</w:t>
      </w:r>
      <w:r>
        <w:rPr>
          <w:rFonts w:hint="eastAsia" w:asciiTheme="minorEastAsia" w:hAnsiTheme="minorEastAsia" w:eastAsiaTheme="minorEastAsia" w:cstheme="minorEastAsia"/>
          <w:sz w:val="24"/>
          <w:szCs w:val="24"/>
          <w:highlight w:val="none"/>
          <w:lang w:eastAsia="zh-CN"/>
        </w:rPr>
        <w:t>四</w:t>
      </w:r>
      <w:r>
        <w:rPr>
          <w:rFonts w:hint="eastAsia" w:asciiTheme="minorEastAsia" w:hAnsiTheme="minorEastAsia" w:eastAsiaTheme="minorEastAsia" w:cstheme="minorEastAsia"/>
          <w:sz w:val="24"/>
          <w:szCs w:val="24"/>
          <w:highlight w:val="none"/>
        </w:rPr>
        <w:t>方透露，否则，应向</w:t>
      </w:r>
      <w:r>
        <w:rPr>
          <w:rFonts w:hint="eastAsia" w:asciiTheme="minorEastAsia" w:hAnsiTheme="minorEastAsia" w:eastAsiaTheme="minorEastAsia" w:cstheme="minorEastAsia"/>
          <w:sz w:val="24"/>
          <w:szCs w:val="24"/>
          <w:highlight w:val="none"/>
          <w:lang w:eastAsia="zh-CN"/>
        </w:rPr>
        <w:t>各</w:t>
      </w:r>
      <w:r>
        <w:rPr>
          <w:rFonts w:hint="eastAsia" w:asciiTheme="minorEastAsia" w:hAnsiTheme="minorEastAsia" w:eastAsiaTheme="minorEastAsia" w:cstheme="minorEastAsia"/>
          <w:sz w:val="24"/>
          <w:szCs w:val="24"/>
          <w:highlight w:val="none"/>
        </w:rPr>
        <w:t>方承担相应的违约责任。</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各</w:t>
      </w:r>
      <w:r>
        <w:rPr>
          <w:rFonts w:hint="eastAsia" w:asciiTheme="minorEastAsia" w:hAnsiTheme="minorEastAsia" w:eastAsiaTheme="minorEastAsia" w:cstheme="minorEastAsia"/>
          <w:sz w:val="24"/>
          <w:szCs w:val="24"/>
          <w:highlight w:val="none"/>
        </w:rPr>
        <w:t>方同意在本协议期限内或之后，（1）只为本协议目的而使用属于</w:t>
      </w:r>
      <w:r>
        <w:rPr>
          <w:rFonts w:hint="eastAsia" w:asciiTheme="minorEastAsia" w:hAnsiTheme="minorEastAsia" w:eastAsiaTheme="minorEastAsia" w:cstheme="minorEastAsia"/>
          <w:sz w:val="24"/>
          <w:szCs w:val="24"/>
          <w:highlight w:val="none"/>
          <w:lang w:eastAsia="zh-CN"/>
        </w:rPr>
        <w:t>各</w:t>
      </w:r>
      <w:r>
        <w:rPr>
          <w:rFonts w:hint="eastAsia" w:asciiTheme="minorEastAsia" w:hAnsiTheme="minorEastAsia" w:eastAsiaTheme="minorEastAsia" w:cstheme="minorEastAsia"/>
          <w:sz w:val="24"/>
          <w:szCs w:val="24"/>
          <w:highlight w:val="none"/>
        </w:rPr>
        <w:t>方的保密资料，（2）在未得到</w:t>
      </w:r>
      <w:r>
        <w:rPr>
          <w:rFonts w:hint="eastAsia" w:asciiTheme="minorEastAsia" w:hAnsiTheme="minorEastAsia" w:eastAsiaTheme="minorEastAsia" w:cstheme="minorEastAsia"/>
          <w:sz w:val="24"/>
          <w:szCs w:val="24"/>
          <w:highlight w:val="none"/>
          <w:lang w:eastAsia="zh-CN"/>
        </w:rPr>
        <w:t>各</w:t>
      </w:r>
      <w:r>
        <w:rPr>
          <w:rFonts w:hint="eastAsia" w:asciiTheme="minorEastAsia" w:hAnsiTheme="minorEastAsia" w:eastAsiaTheme="minorEastAsia" w:cstheme="minorEastAsia"/>
          <w:sz w:val="24"/>
          <w:szCs w:val="24"/>
          <w:highlight w:val="none"/>
        </w:rPr>
        <w:t>方书面同意之前，不将</w:t>
      </w:r>
      <w:r>
        <w:rPr>
          <w:rFonts w:hint="eastAsia" w:asciiTheme="minorEastAsia" w:hAnsiTheme="minorEastAsia" w:eastAsiaTheme="minorEastAsia" w:cstheme="minorEastAsia"/>
          <w:sz w:val="24"/>
          <w:szCs w:val="24"/>
          <w:highlight w:val="none"/>
          <w:lang w:eastAsia="zh-CN"/>
        </w:rPr>
        <w:t>各</w:t>
      </w:r>
      <w:r>
        <w:rPr>
          <w:rFonts w:hint="eastAsia" w:asciiTheme="minorEastAsia" w:hAnsiTheme="minorEastAsia" w:eastAsiaTheme="minorEastAsia" w:cstheme="minorEastAsia"/>
          <w:sz w:val="24"/>
          <w:szCs w:val="24"/>
          <w:highlight w:val="none"/>
        </w:rPr>
        <w:t>方的保密资料披露给第</w:t>
      </w:r>
      <w:r>
        <w:rPr>
          <w:rFonts w:hint="eastAsia" w:asciiTheme="minorEastAsia" w:hAnsiTheme="minorEastAsia" w:eastAsiaTheme="minorEastAsia" w:cstheme="minorEastAsia"/>
          <w:sz w:val="24"/>
          <w:szCs w:val="24"/>
          <w:highlight w:val="none"/>
          <w:lang w:eastAsia="zh-CN"/>
        </w:rPr>
        <w:t>四</w:t>
      </w:r>
      <w:r>
        <w:rPr>
          <w:rFonts w:hint="eastAsia" w:asciiTheme="minorEastAsia" w:hAnsiTheme="minorEastAsia" w:eastAsiaTheme="minorEastAsia" w:cstheme="minorEastAsia"/>
          <w:sz w:val="24"/>
          <w:szCs w:val="24"/>
          <w:highlight w:val="none"/>
        </w:rPr>
        <w:t>方，以及（3）如果披露方要求，接受方应立即将任何被要求退还的保密资料退还给披露方。</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十</w:t>
      </w:r>
      <w:r>
        <w:rPr>
          <w:rFonts w:hint="eastAsia" w:asciiTheme="minorEastAsia" w:hAnsiTheme="minorEastAsia" w:eastAsiaTheme="minorEastAsia" w:cstheme="minorEastAsia"/>
          <w:sz w:val="24"/>
          <w:szCs w:val="24"/>
          <w:highlight w:val="none"/>
        </w:rPr>
        <w:t>、违约责任</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甲方未能按照合同约定支付款项，每延迟一天应承担当期应付款2‰的违约金，违约金累计不超过当期应付款10%。若违约金累计已达上限，而甲方仍未按合同约定支付款项的，乙方有权立即终止本合同，并停止系统运行，由此给乙方带来的直接损失及间接损失应由甲方进行赔付。</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2、乙方应按照合同规定的期限完成系统建设，每延迟一天应承担当期应付款2‰的违约金，违约金累计不超过当期应付款10%。若违约金累计已达上限，乙方仍未履行，甲方有权解除合同。</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3、甲、乙双方中任何一方违反本合同第十条保密条款的，应当向相对方支付合同总价款 1 %的违约金。</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责任，乙方还应向甲方承担合同总价款 1 %的违约金，违约金不足以弥补给甲方造成的损失的，乙方还应当承担补足责任。</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5、合同成立后，在任何一方无实质违约的情况下，未经相对方书面允许，任何一方不得单方撤销、中止、终止履行合同。</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十一</w:t>
      </w:r>
      <w:r>
        <w:rPr>
          <w:rFonts w:hint="eastAsia" w:asciiTheme="minorEastAsia" w:hAnsiTheme="minorEastAsia" w:eastAsiaTheme="minorEastAsia" w:cstheme="minorEastAsia"/>
          <w:sz w:val="24"/>
          <w:szCs w:val="24"/>
          <w:highlight w:val="none"/>
        </w:rPr>
        <w:t>、争议解决</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合同各方应本着诚信的态度及共同合作的精神，通过协商及谈判来努力解决由本合同而产生的或与本合同有关（包括本合同项下某一特定货物买卖合同）的任何争议及不同意见。协商、谈判不能解决的，任何一方均有权向甲方所在地人民法院提起诉讼。</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十</w:t>
      </w:r>
      <w:r>
        <w:rPr>
          <w:rFonts w:hint="eastAsia" w:asciiTheme="minorEastAsia" w:hAnsiTheme="minorEastAsia" w:eastAsiaTheme="minorEastAsia" w:cstheme="minorEastAsia"/>
          <w:sz w:val="24"/>
          <w:szCs w:val="24"/>
          <w:highlight w:val="none"/>
          <w:lang w:val="en-US" w:eastAsia="zh-CN"/>
        </w:rPr>
        <w:t>二</w:t>
      </w:r>
      <w:r>
        <w:rPr>
          <w:rFonts w:hint="eastAsia" w:asciiTheme="minorEastAsia" w:hAnsiTheme="minorEastAsia" w:eastAsiaTheme="minorEastAsia" w:cstheme="minorEastAsia"/>
          <w:sz w:val="24"/>
          <w:szCs w:val="24"/>
          <w:highlight w:val="none"/>
        </w:rPr>
        <w:t>、协议期限</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本协议从双方法定代表人或授权代表签字、盖章之日起生效。</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十</w:t>
      </w:r>
      <w:r>
        <w:rPr>
          <w:rFonts w:hint="eastAsia" w:asciiTheme="minorEastAsia" w:hAnsiTheme="minorEastAsia" w:eastAsiaTheme="minorEastAsia" w:cstheme="minorEastAsia"/>
          <w:sz w:val="24"/>
          <w:szCs w:val="24"/>
          <w:highlight w:val="none"/>
          <w:lang w:val="en-US" w:eastAsia="zh-CN"/>
        </w:rPr>
        <w:t>三</w:t>
      </w:r>
      <w:r>
        <w:rPr>
          <w:rFonts w:hint="eastAsia" w:asciiTheme="minorEastAsia" w:hAnsiTheme="minorEastAsia" w:eastAsiaTheme="minorEastAsia" w:cstheme="minorEastAsia"/>
          <w:sz w:val="24"/>
          <w:szCs w:val="24"/>
          <w:highlight w:val="none"/>
        </w:rPr>
        <w:t>、不可抗力</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1、本合同项下的“不可抗力”是指不能预见，不能避免且不能克服的客观情况，使得本合同一方当事人无法履行合同义务，如战争、严重火灾、水灾、风灾和地震以及其他经三方同意属于不可抗力的事故。</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3、如不可抗力时间延续90天以上的，各方通过协商达成在合理的时间内继续履行合同，或部分履行合同，或终止合同的履行。</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4、一方迟延履行后发生不可抗力的，不能免除责任。</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十</w:t>
      </w:r>
      <w:r>
        <w:rPr>
          <w:rFonts w:hint="eastAsia" w:asciiTheme="minorEastAsia" w:hAnsiTheme="minorEastAsia" w:eastAsiaTheme="minorEastAsia" w:cstheme="minorEastAsia"/>
          <w:sz w:val="24"/>
          <w:szCs w:val="24"/>
          <w:highlight w:val="none"/>
          <w:lang w:val="en-US" w:eastAsia="zh-CN"/>
        </w:rPr>
        <w:t>四</w:t>
      </w:r>
      <w:r>
        <w:rPr>
          <w:rFonts w:hint="eastAsia" w:asciiTheme="minorEastAsia" w:hAnsiTheme="minorEastAsia" w:eastAsiaTheme="minorEastAsia" w:cstheme="minorEastAsia"/>
          <w:sz w:val="24"/>
          <w:szCs w:val="24"/>
          <w:highlight w:val="none"/>
        </w:rPr>
        <w:t>、通知和合同修改</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本合同一方给另一方的通知，都应以书面的形式（信函、传真）发送至对方，对本合同条款进行任何改动，均须由甲乙双方签署书面合同修改或经济签证，方为有效。</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十</w:t>
      </w:r>
      <w:r>
        <w:rPr>
          <w:rFonts w:hint="eastAsia" w:asciiTheme="minorEastAsia" w:hAnsiTheme="minorEastAsia" w:eastAsiaTheme="minorEastAsia" w:cstheme="minorEastAsia"/>
          <w:sz w:val="24"/>
          <w:szCs w:val="24"/>
          <w:highlight w:val="none"/>
          <w:lang w:val="en-US" w:eastAsia="zh-CN"/>
        </w:rPr>
        <w:t>五</w:t>
      </w:r>
      <w:r>
        <w:rPr>
          <w:rFonts w:hint="eastAsia" w:asciiTheme="minorEastAsia" w:hAnsiTheme="minorEastAsia" w:eastAsiaTheme="minorEastAsia" w:cstheme="minorEastAsia"/>
          <w:sz w:val="24"/>
          <w:szCs w:val="24"/>
          <w:highlight w:val="none"/>
        </w:rPr>
        <w:t>、其他规定</w:t>
      </w:r>
      <w:bookmarkStart w:id="0" w:name="_GoBack"/>
      <w:bookmarkEnd w:id="0"/>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本协议的附件为本协议不可分割的部分，与本协议正文具有同等的法律效力。协议附件与本协议约定不一致的，以本协议的约定为准，除非双方一致同意并以书面形式表示以协议附件为准。</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本合同甲、乙</w:t>
      </w:r>
      <w:r>
        <w:rPr>
          <w:rFonts w:hint="eastAsia" w:asciiTheme="minorEastAsia" w:hAnsiTheme="minorEastAsia" w:eastAsiaTheme="minorEastAsia" w:cstheme="minorEastAsia"/>
          <w:sz w:val="24"/>
          <w:szCs w:val="24"/>
          <w:highlight w:val="none"/>
          <w:lang w:eastAsia="zh-CN"/>
        </w:rPr>
        <w:t>双方</w:t>
      </w:r>
      <w:r>
        <w:rPr>
          <w:rFonts w:hint="eastAsia" w:asciiTheme="minorEastAsia" w:hAnsiTheme="minorEastAsia" w:eastAsiaTheme="minorEastAsia" w:cstheme="minorEastAsia"/>
          <w:sz w:val="24"/>
          <w:szCs w:val="24"/>
          <w:highlight w:val="none"/>
        </w:rPr>
        <w:t>方均同意以上条款内容。</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本协议壹式</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份，甲</w:t>
      </w:r>
      <w:r>
        <w:rPr>
          <w:rFonts w:hint="eastAsia" w:asciiTheme="minorEastAsia" w:hAnsiTheme="minorEastAsia" w:eastAsiaTheme="minorEastAsia" w:cstheme="minorEastAsia"/>
          <w:sz w:val="24"/>
          <w:szCs w:val="24"/>
          <w:highlight w:val="none"/>
          <w:lang w:val="en-US" w:eastAsia="zh-CN"/>
        </w:rPr>
        <w:t>方</w:t>
      </w:r>
      <w:r>
        <w:rPr>
          <w:rFonts w:hint="eastAsia" w:asciiTheme="minorEastAsia" w:hAnsiTheme="minorEastAsia" w:eastAsiaTheme="minorEastAsia" w:cstheme="minorEastAsia"/>
          <w:sz w:val="24"/>
          <w:szCs w:val="24"/>
          <w:highlight w:val="none"/>
        </w:rPr>
        <w:t>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份、乙方执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份，具有同等法律效力</w:t>
      </w:r>
      <w:r>
        <w:rPr>
          <w:rFonts w:hint="eastAsia" w:asciiTheme="minorEastAsia" w:hAnsiTheme="minorEastAsia" w:eastAsiaTheme="minorEastAsia" w:cstheme="minorEastAsia"/>
          <w:sz w:val="24"/>
          <w:szCs w:val="24"/>
          <w:highlight w:val="none"/>
          <w:lang w:eastAsia="zh-CN"/>
        </w:rPr>
        <w:t>。</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本合同的订立、履行、变更、终止、解释等均适用中华人民共和国法律。</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本合同未尽事宜由双方共同协商，另行订立补充协议，补充协议与本协议具有同样的法律效力。如果本合同之附件与本合同规定不符, 以本合同规定为准。</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（以下无正文）</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甲方：   （盖章）              </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 xml:space="preserve"> 乙方：   （盖章）</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法定代表人/授权代表：（签字或盖章） 法定代表人/授权代表：（签字或盖章）</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    址：                          地    址：</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                          开户银行：</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    号：                          账    号：</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    话：                          电    话：</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传    真：                          传    真：</w:t>
      </w:r>
    </w:p>
    <w:p>
      <w:pPr>
        <w:pStyle w:val="7"/>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签约日期：202</w:t>
      </w: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年  月  日            签约日期：202</w:t>
      </w: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年  月  日。</w:t>
      </w:r>
    </w:p>
    <w:p>
      <w:pPr>
        <w:rPr>
          <w:rFonts w:hint="eastAsia" w:ascii="宋体" w:hAnsi="宋体" w:eastAsia="宋体" w:cs="宋体"/>
        </w:rPr>
      </w:pPr>
    </w:p>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9E55EC"/>
    <w:multiLevelType w:val="singleLevel"/>
    <w:tmpl w:val="9A9E55E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64BD3311"/>
    <w:rsid w:val="339616AF"/>
    <w:rsid w:val="3DD34685"/>
    <w:rsid w:val="401D3A8A"/>
    <w:rsid w:val="47F024B7"/>
    <w:rsid w:val="51C55EB1"/>
    <w:rsid w:val="52414346"/>
    <w:rsid w:val="52E837CD"/>
    <w:rsid w:val="56C509A1"/>
    <w:rsid w:val="64BD3311"/>
    <w:rsid w:val="65EC5574"/>
    <w:rsid w:val="6C6E7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outlineLvl w:val="0"/>
    </w:pPr>
    <w:rPr>
      <w:rFonts w:ascii="仿宋_GB2312" w:hAnsi="宋体" w:eastAsia="仿宋_GB2312"/>
      <w:b/>
      <w:kern w:val="2"/>
      <w:sz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customStyle="1" w:styleId="7">
    <w:name w:val="样式 首行缩进:  2 字符"/>
    <w:basedOn w:val="1"/>
    <w:autoRedefine/>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2024-04-01T07:25:00Z</dcterms:created>
  <dc:creator>QQQQ</dc:creator>
  <cp:lastModifiedBy>QQQQ</cp:lastModifiedBy>
  <dcterms:modified xsi:type="dcterms:W3CDTF">2024-04-01T07:39:25Z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3140BECC589842069894D97121145078_13</vt:lpwstr>
  </property>
</Properties>
</file>