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就业民生公共服务能力提升行动项目</w:t>
      </w:r>
    </w:p>
    <w:p>
      <w:pPr>
        <w:pStyle w:val="null3"/>
        <w:jc w:val="center"/>
        <w:outlineLvl w:val="2"/>
      </w:pPr>
      <w:r>
        <w:rPr>
          <w:b/>
          <w:sz w:val="28"/>
        </w:rPr>
        <w:t>采购项目编号：</w:t>
      </w:r>
      <w:r>
        <w:rPr>
          <w:b/>
          <w:sz w:val="28"/>
        </w:rPr>
        <w:t>SDZC2024-091</w:t>
      </w:r>
      <w:r>
        <w:br/>
      </w:r>
      <w:r>
        <w:br/>
      </w:r>
      <w:r>
        <w:br/>
      </w:r>
    </w:p>
    <w:p>
      <w:pPr>
        <w:pStyle w:val="null3"/>
        <w:jc w:val="center"/>
        <w:outlineLvl w:val="2"/>
      </w:pPr>
      <w:r>
        <w:rPr>
          <w:b/>
          <w:sz w:val="28"/>
        </w:rPr>
        <w:t>西安市新城区人力资源和社会保障局</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陕西上德招标有限公司</w:t>
      </w:r>
      <w:r>
        <w:rPr/>
        <w:t>（以下简称“代理机构”）受</w:t>
      </w:r>
      <w:r>
        <w:rPr/>
        <w:t>西安市新城区人力资源和社会保障局</w:t>
      </w:r>
      <w:r>
        <w:rPr/>
        <w:t>委托，拟对</w:t>
      </w:r>
      <w:r>
        <w:rPr/>
        <w:t>就业民生公共服务能力提升行动项目</w:t>
      </w:r>
      <w:r>
        <w:rPr/>
        <w:t>采用竞争性磋商采购方式进行采购，兹邀请供应商参加本项目的竞争性磋商。</w:t>
      </w:r>
    </w:p>
    <w:p>
      <w:pPr>
        <w:pStyle w:val="null3"/>
        <w:outlineLvl w:val="2"/>
      </w:pPr>
      <w:r>
        <w:rPr>
          <w:b/>
          <w:sz w:val="28"/>
        </w:rPr>
        <w:t>一、项目编号：</w:t>
      </w:r>
      <w:r>
        <w:rPr>
          <w:b/>
          <w:sz w:val="28"/>
        </w:rPr>
        <w:t>SDZC2024-091</w:t>
      </w:r>
    </w:p>
    <w:p>
      <w:pPr>
        <w:pStyle w:val="null3"/>
        <w:outlineLvl w:val="2"/>
      </w:pPr>
      <w:r>
        <w:rPr>
          <w:b/>
          <w:sz w:val="28"/>
        </w:rPr>
        <w:t>二、项目名称：</w:t>
      </w:r>
      <w:r>
        <w:rPr>
          <w:b/>
          <w:sz w:val="28"/>
        </w:rPr>
        <w:t>就业民生公共服务能力提升行动项目</w:t>
      </w:r>
    </w:p>
    <w:p>
      <w:pPr>
        <w:pStyle w:val="null3"/>
        <w:outlineLvl w:val="2"/>
      </w:pPr>
      <w:r>
        <w:rPr>
          <w:b/>
          <w:sz w:val="28"/>
        </w:rPr>
        <w:t>三、磋商项目简介</w:t>
      </w:r>
    </w:p>
    <w:p>
      <w:pPr>
        <w:pStyle w:val="null3"/>
        <w:ind w:firstLine="480"/>
      </w:pPr>
      <w:r>
        <w:rPr/>
        <w:t>按照全市八个方面新突破重点工作要求，着力做好民生保障和社会服务工作，全力稳就业、促就业，加强人社政策宣传落实，加强重点群体帮扶力度，提升辖区公共就业服务能力。</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采购包1（就业民生公共服务能力提升行动项目）：属于专门面向中小企业采购。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9、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西安市新城区人力资源和社会保障局</w:t>
      </w:r>
    </w:p>
    <w:p>
      <w:pPr>
        <w:pStyle w:val="null3"/>
      </w:pPr>
      <w:r>
        <w:rPr/>
        <w:t xml:space="preserve"> 地址： </w:t>
      </w:r>
      <w:r>
        <w:rPr/>
        <w:t xml:space="preserve"> 西安市尚德路115号</w:t>
      </w:r>
    </w:p>
    <w:p>
      <w:pPr>
        <w:pStyle w:val="null3"/>
      </w:pPr>
      <w:r>
        <w:rPr/>
        <w:t xml:space="preserve"> 邮编： </w:t>
      </w:r>
      <w:r>
        <w:rPr/>
        <w:t>710004</w:t>
      </w:r>
    </w:p>
    <w:p>
      <w:pPr>
        <w:pStyle w:val="null3"/>
      </w:pPr>
      <w:r>
        <w:rPr/>
        <w:t xml:space="preserve"> 联系人： </w:t>
      </w:r>
      <w:r>
        <w:rPr/>
        <w:t>孟贝</w:t>
      </w:r>
    </w:p>
    <w:p>
      <w:pPr>
        <w:pStyle w:val="null3"/>
      </w:pPr>
      <w:r>
        <w:rPr/>
        <w:t xml:space="preserve"> 联系电话： </w:t>
      </w:r>
      <w:r>
        <w:rPr/>
        <w:t>029-87424213</w:t>
      </w:r>
    </w:p>
    <w:p>
      <w:pPr>
        <w:pStyle w:val="null3"/>
        <w:outlineLvl w:val="3"/>
      </w:pPr>
      <w:r>
        <w:rPr>
          <w:b/>
          <w:sz w:val="24"/>
        </w:rPr>
        <w:t>代理机构：</w:t>
      </w:r>
      <w:r>
        <w:rPr>
          <w:b/>
          <w:sz w:val="24"/>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宋芳芳（11号工位）、王涛</w:t>
      </w:r>
    </w:p>
    <w:p>
      <w:pPr>
        <w:pStyle w:val="null3"/>
      </w:pPr>
      <w:r>
        <w:rPr/>
        <w:t xml:space="preserve"> 联系电话： </w:t>
      </w:r>
      <w:r>
        <w:rPr/>
        <w:t>029-86673953、86518381转8011</w:t>
      </w:r>
    </w:p>
    <w:p>
      <w:pPr>
        <w:pStyle w:val="null3"/>
        <w:outlineLvl w:val="3"/>
      </w:pPr>
      <w:r>
        <w:rPr>
          <w:b/>
          <w:sz w:val="24"/>
        </w:rPr>
        <w:t>采购监督机构：</w:t>
      </w:r>
      <w:r>
        <w:rPr>
          <w:b/>
          <w:sz w:val="24"/>
        </w:rPr>
        <w:t>西安市新城区政府采购管理股</w:t>
      </w:r>
    </w:p>
    <w:p>
      <w:pPr>
        <w:pStyle w:val="null3"/>
        <w:ind w:firstLine="480"/>
      </w:pPr>
      <w:r>
        <w:rPr/>
        <w:t>联系人：</w:t>
      </w:r>
      <w:r>
        <w:rPr/>
        <w:t>刘婷</w:t>
      </w:r>
    </w:p>
    <w:p>
      <w:pPr>
        <w:pStyle w:val="null3"/>
        <w:ind w:firstLine="480"/>
      </w:pPr>
      <w:r>
        <w:rPr/>
        <w:t>联系电话：</w:t>
      </w:r>
      <w:r>
        <w:rPr/>
        <w:t>029-87438480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西安市新城区人力资源和社会保障局</w:t>
      </w:r>
      <w:r>
        <w:rPr/>
        <w:t>和</w:t>
      </w:r>
      <w:r>
        <w:rPr/>
        <w:t>陕西上德招标有限公司</w:t>
      </w:r>
      <w:r>
        <w:rPr/>
        <w:t>享有。对磋商文件中供应商参加本次政府采购活动应当具备的条件，磋商项目技术、服务、商务及其他要求，评审细则及标准由</w:t>
      </w:r>
      <w:r>
        <w:rPr/>
        <w:t>西安市新城区人力资源和社会保障局</w:t>
      </w:r>
      <w:r>
        <w:rPr/>
        <w:t>负责解释。除上述磋商文件内容，其他内容由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西安市新城区人力资源和社会保障局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达到采购人要求及符合竞争性磋商文件，由采购人签发验收合格单。</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联系人：宋芳芳(11号工位)</w:t>
      </w:r>
    </w:p>
    <w:p>
      <w:pPr>
        <w:pStyle w:val="null3"/>
      </w:pPr>
      <w:r>
        <w:rPr/>
        <w:t>联系电话：029-86673953、86518381转8011</w:t>
      </w:r>
    </w:p>
    <w:p>
      <w:pPr>
        <w:pStyle w:val="null3"/>
      </w:pPr>
      <w:r>
        <w:rPr/>
        <w:t>地址：陕西上德招标有限公司（西安市经开区凤城八路正尚国际金融广场A座7层703（张家堡转盘东南角））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就业民生公共服务能力提升行动项目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1,500,000.00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就业民生公共服务能力提升行动项目</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家</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标的名称：就业民生公共服务能力提升行动项目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 xml:space="preserve">      </w:t>
            </w:r>
            <w:r>
              <w:rPr/>
              <w:t>按照全市八个方面新突破重点工作要求，着力做好民生保障和社会服务工作，全力稳就业、促就业，加强人社政策宣传落实，加强重点群体帮扶力度，提升辖区公共就业服务能力。</w:t>
            </w:r>
          </w:p>
          <w:p>
            <w:pPr>
              <w:pStyle w:val="null3"/>
              <w:ind w:firstLine="402"/>
              <w:jc w:val="both"/>
            </w:pPr>
            <w:r>
              <w:rPr/>
              <w:t xml:space="preserve">具体服务内容： </w:t>
            </w:r>
          </w:p>
          <w:p>
            <w:pPr>
              <w:pStyle w:val="null3"/>
            </w:pPr>
            <w:r>
              <w:rPr>
                <w:b/>
              </w:rPr>
              <w:t xml:space="preserve">       1.高校毕业生就业招聘活动</w:t>
            </w:r>
          </w:p>
          <w:p>
            <w:pPr>
              <w:pStyle w:val="null3"/>
              <w:ind w:firstLine="400"/>
              <w:jc w:val="both"/>
            </w:pPr>
            <w:r>
              <w:rPr/>
              <w:t>为推动高校毕业生就业创业，分发挥人社局服务高校毕业生的社会职能和纽带作用，举办2024年高校毕业生就业招聘活动不少于10场。通过举办现场招聘会、网络招聘会、就业见习岗位发布等活动，搭建企业与高校毕业生的交流平台，促进双方精准匹配，提高高校毕业生的就业率，缓解就业压力。</w:t>
            </w:r>
          </w:p>
          <w:p>
            <w:pPr>
              <w:pStyle w:val="null3"/>
              <w:ind w:firstLine="402"/>
              <w:jc w:val="both"/>
            </w:pPr>
            <w:r>
              <w:rPr>
                <w:b/>
              </w:rPr>
              <w:t>2、2024年高校就业指导训练营项目</w:t>
            </w:r>
          </w:p>
          <w:p>
            <w:pPr>
              <w:pStyle w:val="null3"/>
              <w:ind w:firstLine="400"/>
              <w:jc w:val="both"/>
            </w:pPr>
            <w:r>
              <w:rPr/>
              <w:t>组织举办2024年高校就业指导训练营项目不少于6场，负责活动整体策划、物料设计及制作、活动宣传及服务等内容，按时圆满完成活动。主要功能目标:为促进高校毕业生就业创业,针对高校毕业生就业难、就业慢甚至不就业等新现象、新情况，统筹力量做好高校毕业生就业工作，通过开展政策宣讲、就业指导课程、岗位体验、入企走访等多样化的活动，帮助毕业生更好地了解就业市场、掌握求职技巧、熟悉就业政策，为高校毕业生提供全方位、多层次的就业服务，促进他们顺利融入社会，实现高质量就业。</w:t>
            </w:r>
          </w:p>
          <w:p>
            <w:pPr>
              <w:pStyle w:val="null3"/>
              <w:ind w:firstLine="402"/>
              <w:jc w:val="both"/>
            </w:pPr>
            <w:r>
              <w:rPr>
                <w:b/>
              </w:rPr>
              <w:t>3、家门口重点人群招聘会</w:t>
            </w:r>
          </w:p>
          <w:p>
            <w:pPr>
              <w:pStyle w:val="null3"/>
              <w:ind w:firstLine="400"/>
              <w:jc w:val="both"/>
            </w:pPr>
            <w:r>
              <w:rPr/>
              <w:t>为解决辖区群众的就业问题，举办各类家门口招聘会若干场，需提供如下服务：</w:t>
            </w:r>
          </w:p>
          <w:p>
            <w:pPr>
              <w:pStyle w:val="null3"/>
              <w:ind w:firstLine="400"/>
              <w:jc w:val="both"/>
            </w:pPr>
            <w:r>
              <w:rPr/>
              <w:t>招聘会物料：桁架、帐篷、桌椅、桌布、海报、门楣、桌牌、横幅、参会证、工作证、桌牌等租赁与制作；</w:t>
            </w:r>
          </w:p>
          <w:p>
            <w:pPr>
              <w:pStyle w:val="null3"/>
              <w:ind w:firstLine="400"/>
              <w:jc w:val="both"/>
            </w:pPr>
            <w:r>
              <w:rPr/>
              <w:t>企业组织：企业邀约、招聘简章整理、会务咨询等；</w:t>
            </w:r>
          </w:p>
          <w:p>
            <w:pPr>
              <w:pStyle w:val="null3"/>
              <w:ind w:firstLine="400"/>
              <w:jc w:val="both"/>
            </w:pPr>
            <w:r>
              <w:rPr/>
              <w:t>职业指导师及岗位推荐官：邀请专业职业指导师现场为求职者进行“一对一”就业指导及精准岗位推荐；</w:t>
            </w:r>
          </w:p>
          <w:p>
            <w:pPr>
              <w:pStyle w:val="null3"/>
              <w:ind w:firstLine="400"/>
              <w:jc w:val="both"/>
            </w:pPr>
            <w:r>
              <w:rPr/>
              <w:t>会务服务：物料设计、现场布展、撤展、会场签到、引领、会务咨询、数据统计以及线上、线下企业招聘效果跟踪服务等；</w:t>
            </w:r>
          </w:p>
          <w:p>
            <w:pPr>
              <w:pStyle w:val="null3"/>
              <w:ind w:firstLine="400"/>
              <w:jc w:val="both"/>
            </w:pPr>
            <w:r>
              <w:rPr/>
              <w:t>直播设备、平台技术支持、流量采购、物料制作、主持人、摄像、摄像后期剪辑等；</w:t>
            </w:r>
          </w:p>
          <w:p>
            <w:pPr>
              <w:pStyle w:val="null3"/>
              <w:ind w:firstLine="400"/>
              <w:jc w:val="both"/>
            </w:pPr>
            <w:r>
              <w:rPr/>
              <w:t>其他服务：活动宣传、摄影摄像、小视频剪辑等。</w:t>
            </w:r>
          </w:p>
          <w:p>
            <w:pPr>
              <w:pStyle w:val="null3"/>
              <w:jc w:val="both"/>
            </w:pPr>
            <w:r>
              <w:rPr/>
              <w:t xml:space="preserve">  </w:t>
            </w:r>
            <w:r>
              <w:rPr>
                <w:b/>
              </w:rPr>
              <w:t xml:space="preserve">     4.“1+9+N”就业创业服务驿站运营</w:t>
            </w:r>
          </w:p>
          <w:p>
            <w:pPr>
              <w:pStyle w:val="null3"/>
              <w:ind w:left="15" w:right="90" w:firstLine="493"/>
              <w:jc w:val="both"/>
            </w:pPr>
            <w:r>
              <w:rPr/>
              <w:t>进驻我区各街道和社区驿站，针对“1”个区级就业创业服务驿站，“9”个街道就业创业服务驿站、“N”个重点就业创业服务驿站，开展“1＋9＋N”就业创业服务驿站日常运营；建立秦云就业新城专区，提升“心诚零工”小程序服务水平，进行岗位、人员数据摸排更新录入，健全人社服务事项内容，完善就业创业服务驿站建设及日常管理；开展“就业创业服务地图”小程序运营，完善“15分钟就业服务圈”。就业创业服务驿站基本服务包括个人服务和企业服务两部分，个人服务部分包含就业咨询、职业指导、求职登记、岗位匹配、创业指引、技能提升，企业服务包含用工咨询、政策指引、用工保障等。</w:t>
            </w:r>
          </w:p>
          <w:p>
            <w:pPr>
              <w:pStyle w:val="null3"/>
              <w:ind w:left="15" w:right="90" w:firstLine="493"/>
              <w:jc w:val="both"/>
            </w:pPr>
            <w:r>
              <w:rPr/>
              <w:t>具体指标要求如下：</w:t>
            </w:r>
          </w:p>
          <w:tbl>
            <w:tblPr>
              <w:tblBorders>
                <w:top w:val="none" w:color="000000" w:sz="4"/>
                <w:left w:val="none" w:color="000000" w:sz="4"/>
                <w:bottom w:val="none" w:color="000000" w:sz="4"/>
                <w:right w:val="none" w:color="000000" w:sz="4"/>
                <w:insideH w:val="none"/>
                <w:insideV w:val="none"/>
              </w:tblBorders>
            </w:tblPr>
            <w:tblGrid>
              <w:gridCol w:w="205"/>
              <w:gridCol w:w="285"/>
              <w:gridCol w:w="357"/>
              <w:gridCol w:w="1379"/>
              <w:gridCol w:w="312"/>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序号</w:t>
                  </w:r>
                </w:p>
              </w:tc>
              <w:tc>
                <w:tcPr>
                  <w:tcW w:type="dxa" w:w="64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服务项目</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服务内容</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服务指标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1</w:t>
                  </w:r>
                </w:p>
              </w:tc>
              <w:tc>
                <w:tcPr>
                  <w:tcW w:type="dxa" w:w="2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新城区“1+9+N”就业创业服务驿站运营</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培训指导</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针对辖区街道社区驿站建设情况以及就业干事工作能力情况，开展业务培训和就业驿站工作开展指导工作</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10次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2</w:t>
                  </w:r>
                </w:p>
              </w:tc>
              <w:tc>
                <w:tcPr>
                  <w:tcW w:type="dxa" w:w="285"/>
                  <w:vMerge/>
                  <w:tcBorders>
                    <w:top w:val="none" w:color="000000" w:sz="4"/>
                    <w:left w:val="none" w:color="000000" w:sz="4"/>
                    <w:bottom w:val="single" w:color="000000" w:sz="4"/>
                    <w:right w:val="single" w:color="000000" w:sz="4"/>
                  </w:tcBorders>
                </w:tcP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就业指导</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针对中心、街道、社区开展的招聘会、就业援助等活动提供就业导师支持</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20次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3</w:t>
                  </w:r>
                </w:p>
              </w:tc>
              <w:tc>
                <w:tcPr>
                  <w:tcW w:type="dxa" w:w="285"/>
                  <w:vMerge/>
                  <w:tcBorders>
                    <w:top w:val="none" w:color="000000" w:sz="4"/>
                    <w:left w:val="none" w:color="000000" w:sz="4"/>
                    <w:bottom w:val="single" w:color="000000" w:sz="4"/>
                    <w:right w:val="single" w:color="000000" w:sz="4"/>
                  </w:tcBorders>
                </w:tcPr>
                <w:p/>
              </w:tc>
              <w:tc>
                <w:tcPr>
                  <w:tcW w:type="dxa" w:w="3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信息采集、数据摸底、标签化管理</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配合街道社区进行辖区求职者和用工单位进行摸排走访</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主动对接街办实际需求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4</w:t>
                  </w:r>
                </w:p>
              </w:tc>
              <w:tc>
                <w:tcPr>
                  <w:tcW w:type="dxa" w:w="285"/>
                  <w:vMerge/>
                  <w:tcBorders>
                    <w:top w:val="none" w:color="000000" w:sz="4"/>
                    <w:left w:val="none" w:color="000000" w:sz="4"/>
                    <w:bottom w:val="single" w:color="000000" w:sz="4"/>
                    <w:right w:val="single" w:color="000000" w:sz="4"/>
                  </w:tcBorders>
                </w:tcPr>
                <w:p/>
              </w:tc>
              <w:tc>
                <w:tcPr>
                  <w:tcW w:type="dxa" w:w="3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岗位开发</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以新城为基点，辐射全市,开发招聘岗位</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500家次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5</w:t>
                  </w:r>
                </w:p>
              </w:tc>
              <w:tc>
                <w:tcPr>
                  <w:tcW w:type="dxa" w:w="285"/>
                  <w:vMerge/>
                  <w:tcBorders>
                    <w:top w:val="none" w:color="000000" w:sz="4"/>
                    <w:left w:val="none" w:color="000000" w:sz="4"/>
                    <w:bottom w:val="single" w:color="000000" w:sz="4"/>
                    <w:right w:val="single" w:color="000000" w:sz="4"/>
                  </w:tcBorders>
                </w:tcPr>
                <w:p/>
              </w:tc>
              <w:tc>
                <w:tcPr>
                  <w:tcW w:type="dxa" w:w="357"/>
                  <w:vMerge/>
                  <w:tcBorders>
                    <w:top w:val="single" w:color="000000" w:sz="4"/>
                    <w:left w:val="non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协助街道社区对辖区范围的企业开展摸排走访,调研审核工作</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50次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6</w:t>
                  </w:r>
                </w:p>
              </w:tc>
              <w:tc>
                <w:tcPr>
                  <w:tcW w:type="dxa" w:w="285"/>
                  <w:vMerge/>
                  <w:tcBorders>
                    <w:top w:val="none" w:color="000000" w:sz="4"/>
                    <w:left w:val="none" w:color="000000" w:sz="4"/>
                    <w:bottom w:val="single" w:color="000000" w:sz="4"/>
                    <w:right w:val="single" w:color="000000" w:sz="4"/>
                  </w:tcBorders>
                </w:tcPr>
                <w:p/>
              </w:tc>
              <w:tc>
                <w:tcPr>
                  <w:tcW w:type="dxa" w:w="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咨询服务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对中心、街道、社区等主动登记求职的人员提供针对性就业服务，包括就业指导、岗位推荐、政策讲解等</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500人次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7</w:t>
                  </w:r>
                </w:p>
              </w:tc>
              <w:tc>
                <w:tcPr>
                  <w:tcW w:type="dxa" w:w="285"/>
                  <w:vMerge/>
                  <w:tcBorders>
                    <w:top w:val="none" w:color="000000" w:sz="4"/>
                    <w:left w:val="none" w:color="000000" w:sz="4"/>
                    <w:bottom w:val="single" w:color="000000" w:sz="4"/>
                    <w:right w:val="single" w:color="000000" w:sz="4"/>
                  </w:tcBorders>
                </w:tcPr>
                <w:p/>
              </w:tc>
              <w:tc>
                <w:tcPr>
                  <w:tcW w:type="dxa" w:w="357"/>
                  <w:vMerge/>
                  <w:tcBorders>
                    <w:top w:val="none" w:color="000000" w:sz="4"/>
                    <w:left w:val="non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对登记用工需求的企业提供一对一政策宣传、岗位画像等</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500家次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8</w:t>
                  </w:r>
                </w:p>
              </w:tc>
              <w:tc>
                <w:tcPr>
                  <w:tcW w:type="dxa" w:w="285"/>
                  <w:vMerge/>
                  <w:tcBorders>
                    <w:top w:val="none" w:color="000000" w:sz="4"/>
                    <w:left w:val="none" w:color="000000" w:sz="4"/>
                    <w:bottom w:val="single" w:color="000000" w:sz="4"/>
                    <w:right w:val="single" w:color="000000" w:sz="4"/>
                  </w:tcBorders>
                </w:tcPr>
                <w:p/>
              </w:tc>
              <w:tc>
                <w:tcPr>
                  <w:tcW w:type="dxa" w:w="35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信息发布</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招聘信息的审核，包括企业资质、招聘信息的真实性等</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2000家次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9</w:t>
                  </w:r>
                </w:p>
              </w:tc>
              <w:tc>
                <w:tcPr>
                  <w:tcW w:type="dxa" w:w="285"/>
                  <w:vMerge/>
                  <w:tcBorders>
                    <w:top w:val="none" w:color="000000" w:sz="4"/>
                    <w:left w:val="none" w:color="000000" w:sz="4"/>
                    <w:bottom w:val="single" w:color="000000" w:sz="4"/>
                    <w:right w:val="single" w:color="000000" w:sz="4"/>
                  </w:tcBorders>
                </w:tcPr>
                <w:p/>
              </w:tc>
              <w:tc>
                <w:tcPr>
                  <w:tcW w:type="dxa" w:w="357"/>
                  <w:vMerge/>
                  <w:tcBorders>
                    <w:top w:val="none" w:color="000000" w:sz="4"/>
                    <w:left w:val="none" w:color="000000" w:sz="4"/>
                    <w:bottom w:val="non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指导企业完善招聘信息各模块内容，包括岗位要求、任职要求、薪资待遇等</w:t>
                  </w:r>
                </w:p>
              </w:tc>
              <w:tc>
                <w:tcPr>
                  <w:tcW w:type="dxa" w:w="312"/>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10</w:t>
                  </w:r>
                </w:p>
              </w:tc>
              <w:tc>
                <w:tcPr>
                  <w:tcW w:type="dxa" w:w="285"/>
                  <w:vMerge/>
                  <w:tcBorders>
                    <w:top w:val="none" w:color="000000" w:sz="4"/>
                    <w:left w:val="none" w:color="000000" w:sz="4"/>
                    <w:bottom w:val="single" w:color="000000" w:sz="4"/>
                    <w:right w:val="single" w:color="000000" w:sz="4"/>
                  </w:tcBorders>
                </w:tcPr>
                <w:p/>
              </w:tc>
              <w:tc>
                <w:tcPr>
                  <w:tcW w:type="dxa" w:w="357"/>
                  <w:vMerge/>
                  <w:tcBorders>
                    <w:top w:val="none" w:color="000000" w:sz="4"/>
                    <w:left w:val="none" w:color="000000" w:sz="4"/>
                    <w:bottom w:val="non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通过中心街道社区宣传栏、媒体平台、社群等渠道，发布招聘信息、活动宣传动态、就业市场动态、办事流程等</w:t>
                  </w:r>
                </w:p>
              </w:tc>
              <w:tc>
                <w:tcPr>
                  <w:tcW w:type="dxa" w:w="312"/>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11</w:t>
                  </w:r>
                </w:p>
              </w:tc>
              <w:tc>
                <w:tcPr>
                  <w:tcW w:type="dxa" w:w="285"/>
                  <w:vMerge/>
                  <w:tcBorders>
                    <w:top w:val="none" w:color="000000" w:sz="4"/>
                    <w:left w:val="none" w:color="000000" w:sz="4"/>
                    <w:bottom w:val="single" w:color="000000" w:sz="4"/>
                    <w:right w:val="single" w:color="000000" w:sz="4"/>
                  </w:tcBorders>
                </w:tcPr>
                <w:p/>
              </w:tc>
              <w:tc>
                <w:tcPr>
                  <w:tcW w:type="dxa" w:w="357"/>
                  <w:vMerge/>
                  <w:tcBorders>
                    <w:top w:val="none" w:color="000000" w:sz="4"/>
                    <w:left w:val="none" w:color="000000" w:sz="4"/>
                    <w:bottom w:val="non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对中心街道社区就业驿站招聘信息港进行更新，保持信息的鲜活度</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12次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12</w:t>
                  </w:r>
                </w:p>
              </w:tc>
              <w:tc>
                <w:tcPr>
                  <w:tcW w:type="dxa" w:w="285"/>
                  <w:vMerge/>
                  <w:tcBorders>
                    <w:top w:val="none" w:color="000000" w:sz="4"/>
                    <w:left w:val="none" w:color="000000" w:sz="4"/>
                    <w:bottom w:val="single" w:color="000000" w:sz="4"/>
                    <w:right w:val="single" w:color="000000" w:sz="4"/>
                  </w:tcBorders>
                </w:tcP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特色活动</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针对不同街道社区的就业环境特点,开展特色就业援助活动</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10场</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13</w:t>
                  </w:r>
                </w:p>
              </w:tc>
              <w:tc>
                <w:tcPr>
                  <w:tcW w:type="dxa" w:w="285"/>
                  <w:vMerge/>
                  <w:tcBorders>
                    <w:top w:val="none" w:color="000000" w:sz="4"/>
                    <w:left w:val="none" w:color="000000" w:sz="4"/>
                    <w:bottom w:val="single" w:color="000000" w:sz="4"/>
                    <w:right w:val="single" w:color="000000" w:sz="4"/>
                  </w:tcBorders>
                </w:tcPr>
                <w:p/>
              </w:tc>
              <w:tc>
                <w:tcPr>
                  <w:tcW w:type="dxa" w:w="35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跟踪回访</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对参加中心街道社区就业援助活动、招聘会现场、主动上门登记的求职者持续跟踪回访,跟踪就业情况</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针对服务过的企业</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14</w:t>
                  </w:r>
                </w:p>
              </w:tc>
              <w:tc>
                <w:tcPr>
                  <w:tcW w:type="dxa" w:w="285"/>
                  <w:vMerge/>
                  <w:tcBorders>
                    <w:top w:val="none" w:color="000000" w:sz="4"/>
                    <w:left w:val="none" w:color="000000" w:sz="4"/>
                    <w:bottom w:val="single" w:color="000000" w:sz="4"/>
                    <w:right w:val="single" w:color="000000" w:sz="4"/>
                  </w:tcBorders>
                </w:tcPr>
                <w:p/>
              </w:tc>
              <w:tc>
                <w:tcPr>
                  <w:tcW w:type="dxa" w:w="357"/>
                  <w:vMerge/>
                  <w:tcBorders>
                    <w:top w:val="none" w:color="000000" w:sz="4"/>
                    <w:left w:val="none" w:color="000000" w:sz="4"/>
                    <w:bottom w:val="none" w:color="000000" w:sz="4"/>
                    <w:right w:val="single" w:color="000000" w:sz="4"/>
                  </w:tcBorders>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对提供人才推荐的企业进行跟踪回访,掌握帮扶对象实时动态,企业用工情况</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针对服务过的个人</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15</w:t>
                  </w:r>
                </w:p>
              </w:tc>
              <w:tc>
                <w:tcPr>
                  <w:tcW w:type="dxa" w:w="285"/>
                  <w:vMerge/>
                  <w:tcBorders>
                    <w:top w:val="none" w:color="000000" w:sz="4"/>
                    <w:left w:val="none" w:color="000000" w:sz="4"/>
                    <w:bottom w:val="single" w:color="000000" w:sz="4"/>
                    <w:right w:val="single" w:color="000000" w:sz="4"/>
                  </w:tcBorders>
                </w:tcPr>
                <w:p/>
              </w:tc>
              <w:tc>
                <w:tcPr>
                  <w:tcW w:type="dxa" w:w="35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驿站宣传</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提升服务质量、展现服务品牌的工作亮点</w:t>
                  </w:r>
                </w:p>
              </w:tc>
              <w:tc>
                <w:tcPr>
                  <w:tcW w:type="dxa" w:w="31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20条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16</w:t>
                  </w:r>
                </w:p>
              </w:tc>
              <w:tc>
                <w:tcPr>
                  <w:tcW w:type="dxa" w:w="285"/>
                  <w:vMerge/>
                  <w:tcBorders>
                    <w:top w:val="none" w:color="000000" w:sz="4"/>
                    <w:left w:val="none" w:color="000000" w:sz="4"/>
                    <w:bottom w:val="single" w:color="000000" w:sz="4"/>
                    <w:right w:val="single" w:color="000000" w:sz="4"/>
                  </w:tcBorders>
                </w:tcPr>
                <w:p/>
              </w:tc>
              <w:tc>
                <w:tcPr>
                  <w:tcW w:type="dxa" w:w="357"/>
                  <w:vMerge/>
                  <w:tcBorders>
                    <w:top w:val="single" w:color="000000" w:sz="4"/>
                    <w:left w:val="none" w:color="000000" w:sz="4"/>
                    <w:bottom w:val="none" w:color="000000" w:sz="4"/>
                    <w:right w:val="single" w:color="000000" w:sz="4"/>
                  </w:tcBorders>
                </w:tcPr>
                <w:p/>
              </w:tc>
              <w:tc>
                <w:tcPr>
                  <w:tcW w:type="dxa" w:w="13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整理就业帮扶典型案例，加大宣传力度，助推就业工作</w:t>
                  </w:r>
                </w:p>
              </w:tc>
              <w:tc>
                <w:tcPr>
                  <w:tcW w:type="dxa" w:w="312"/>
                  <w:vMerge/>
                  <w:tcBorders>
                    <w:top w:val="none" w:color="000000" w:sz="4"/>
                    <w:left w:val="none" w:color="000000" w:sz="4"/>
                    <w:bottom w:val="non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17</w:t>
                  </w:r>
                </w:p>
              </w:tc>
              <w:tc>
                <w:tcPr>
                  <w:tcW w:type="dxa" w:w="285"/>
                  <w:vMerge/>
                  <w:tcBorders>
                    <w:top w:val="none" w:color="000000" w:sz="4"/>
                    <w:left w:val="none" w:color="000000" w:sz="4"/>
                    <w:bottom w:val="single" w:color="000000" w:sz="4"/>
                    <w:right w:val="single" w:color="000000" w:sz="4"/>
                  </w:tcBorders>
                </w:tcP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quot;times new roman&quot;" w:hAnsi="&quot;times new roman&quot;" w:cs="&quot;times new roman&quot;" w:eastAsia="&quot;times new roman&quot;"/>
                      <w:sz w:val="19"/>
                    </w:rPr>
                    <w:t>特色专业服务</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辖区就业困难人员就业服务，全年完成帮扶成功就业案例</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10个</w:t>
                  </w:r>
                </w:p>
              </w:tc>
            </w:tr>
          </w:tbl>
          <w:p>
            <w:pPr>
              <w:pStyle w:val="null3"/>
              <w:ind w:right="90"/>
              <w:jc w:val="both"/>
            </w:pPr>
            <w:r>
              <w:rPr>
                <w:b/>
              </w:rPr>
              <w:t xml:space="preserve">   5.加强媒体宣传</w:t>
            </w:r>
          </w:p>
          <w:p>
            <w:pPr>
              <w:pStyle w:val="null3"/>
              <w:jc w:val="both"/>
            </w:pPr>
            <w:r>
              <w:rPr/>
              <w:t>与西安新闻网、西安发布APP建立密切合作关系。全力推进新城区人社局牵头“八个新突破”民生保障方面重点工作，通过政策宣传、活动报道、业务宣讲等多种形式，帮助重点就业群体及时了解相关就业政策，开创就业创业工作新局面。</w:t>
            </w:r>
          </w:p>
        </w:tc>
      </w:tr>
    </w:tbl>
    <w:p>
      <w:pPr>
        <w:pStyle w:val="null3"/>
        <w:outlineLvl w:val="2"/>
      </w:pPr>
      <w:r>
        <w:rPr>
          <w:b/>
          <w:sz w:val="28"/>
        </w:rPr>
        <w:t>3.2.3人员配置要求</w:t>
      </w:r>
    </w:p>
    <w:p>
      <w:pPr>
        <w:pStyle w:val="null3"/>
      </w:pPr>
      <w:r>
        <w:rPr/>
        <w:t>采购包1：</w:t>
      </w:r>
    </w:p>
    <w:p>
      <w:pPr>
        <w:pStyle w:val="null3"/>
      </w:pPr>
      <w:r>
        <w:rPr/>
        <w:t>按照项目实际情况进行配置</w:t>
      </w:r>
    </w:p>
    <w:p>
      <w:pPr>
        <w:pStyle w:val="null3"/>
        <w:outlineLvl w:val="2"/>
      </w:pPr>
      <w:r>
        <w:rPr>
          <w:b/>
          <w:sz w:val="28"/>
        </w:rPr>
        <w:t>3.2.4设施设备要求</w:t>
      </w:r>
    </w:p>
    <w:p>
      <w:pPr>
        <w:pStyle w:val="null3"/>
      </w:pPr>
      <w:r>
        <w:rPr/>
        <w:t>采购包1：</w:t>
      </w:r>
    </w:p>
    <w:p>
      <w:pPr>
        <w:pStyle w:val="null3"/>
      </w:pPr>
      <w:r>
        <w:rPr/>
        <w:t>按照项目实际情况进行配置</w:t>
      </w:r>
    </w:p>
    <w:p>
      <w:pPr>
        <w:pStyle w:val="null3"/>
        <w:outlineLvl w:val="2"/>
      </w:pPr>
      <w:r>
        <w:rPr>
          <w:b/>
          <w:sz w:val="28"/>
        </w:rPr>
        <w:t>3.2.5其他要求</w:t>
      </w:r>
    </w:p>
    <w:p>
      <w:pPr>
        <w:pStyle w:val="null3"/>
      </w:pPr>
      <w:r>
        <w:rPr/>
        <w:t>采购包1：</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自合同签订之日起至项目执行结束。</w:t>
      </w:r>
    </w:p>
    <w:p>
      <w:pPr>
        <w:pStyle w:val="null3"/>
        <w:outlineLvl w:val="3"/>
      </w:pPr>
      <w:r>
        <w:rPr>
          <w:b/>
          <w:sz w:val="24"/>
        </w:rPr>
        <w:t>3.3.2服务地点</w:t>
      </w:r>
    </w:p>
    <w:p>
      <w:pPr>
        <w:pStyle w:val="null3"/>
      </w:pPr>
      <w:r>
        <w:rPr/>
        <w:t>采购包1：</w:t>
      </w:r>
    </w:p>
    <w:p>
      <w:pPr>
        <w:pStyle w:val="null3"/>
      </w:pPr>
      <w:r>
        <w:rPr/>
        <w:t>西安市各举办地点。</w:t>
      </w:r>
    </w:p>
    <w:p>
      <w:pPr>
        <w:pStyle w:val="null3"/>
        <w:outlineLvl w:val="3"/>
      </w:pPr>
      <w:r>
        <w:rPr>
          <w:b/>
          <w:sz w:val="24"/>
        </w:rPr>
        <w:t>3.3.3考核（验收）标准和方法</w:t>
      </w:r>
    </w:p>
    <w:p>
      <w:pPr>
        <w:pStyle w:val="null3"/>
      </w:pPr>
      <w:r>
        <w:rPr/>
        <w:t>采购包1：</w:t>
      </w:r>
    </w:p>
    <w:p>
      <w:pPr>
        <w:pStyle w:val="null3"/>
      </w:pPr>
      <w:r>
        <w:rPr/>
        <w:t>达到采购人要求及符合竞争性磋商文件，由采购人签发验收合格单。</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甲乙双方合同签订后，支付合同总金额的60.00%</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合同执行完毕且经甲方验收合格后，支付合同总金额的40.00%</w:t>
      </w:r>
      <w:r>
        <w:rPr/>
        <w:t xml:space="preserve"> ，达到付款条件起 </w:t>
      </w:r>
      <w:r>
        <w:rPr/>
        <w:t>30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b/>
          <w:sz w:val="28"/>
        </w:rPr>
        <w:t>3.4其他要求</w:t>
      </w:r>
    </w:p>
    <w:p>
      <w:pPr>
        <w:pStyle w:val="null3"/>
      </w:pPr>
      <w:r>
        <w:rPr/>
        <w:t>中标人在领取中标通知书时提供一正两副纸质版文件。</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信用截图</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 商务条款响应偏离表</w:t>
            </w:r>
          </w:p>
        </w:tc>
      </w:tr>
      <w:tr>
        <w:tc>
          <w:tcPr>
            <w:tcW w:type="dxa" w:w="831"/>
          </w:tcPr>
          <w:p>
            <w:pPr>
              <w:pStyle w:val="null3"/>
            </w:pPr>
            <w:r>
              <w:rPr/>
              <w:t>2</w:t>
            </w:r>
          </w:p>
        </w:tc>
        <w:tc>
          <w:tcPr>
            <w:tcW w:type="dxa" w:w="2492"/>
          </w:tcPr>
          <w:p>
            <w:pPr>
              <w:pStyle w:val="null3"/>
            </w:pPr>
            <w:r>
              <w:rPr/>
              <w:t>盖章签字</w:t>
            </w:r>
          </w:p>
        </w:tc>
        <w:tc>
          <w:tcPr>
            <w:tcW w:type="dxa" w:w="3322"/>
          </w:tcPr>
          <w:p>
            <w:pPr>
              <w:pStyle w:val="null3"/>
            </w:pPr>
            <w:r>
              <w:rPr/>
              <w:t>磋商响应文件全部按照磋商文件的要求盖章签字</w:t>
            </w:r>
          </w:p>
        </w:tc>
        <w:tc>
          <w:tcPr>
            <w:tcW w:type="dxa" w:w="1661"/>
          </w:tcPr>
          <w:p>
            <w:pPr>
              <w:pStyle w:val="null3"/>
            </w:pPr>
            <w:r>
              <w:rPr/>
              <w:t>响应文件封面 分项报价 中小企业声明函 残疾人福利性单位声明函 标的清单 报价表 《拒绝政府采购领域商业贿赂承诺书》 响应函 法定代表人授权书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磋商报价未超过采购预算</w:t>
            </w:r>
          </w:p>
        </w:tc>
        <w:tc>
          <w:tcPr>
            <w:tcW w:type="dxa" w:w="1661"/>
          </w:tcPr>
          <w:p>
            <w:pPr>
              <w:pStyle w:val="null3"/>
            </w:pPr>
            <w:r>
              <w:rPr/>
              <w:t>分项报价 标的清单 报价表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对磋商文件商务要求已作出明确且实质性响应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其他无效响应情形</w:t>
            </w:r>
          </w:p>
        </w:tc>
        <w:tc>
          <w:tcPr>
            <w:tcW w:type="dxa" w:w="3322"/>
          </w:tcPr>
          <w:p>
            <w:pPr>
              <w:pStyle w:val="null3"/>
            </w:pPr>
            <w:r>
              <w:rPr/>
              <w:t>不存在法律、法规和磋商文件规定的其他无效响应情形</w:t>
            </w:r>
          </w:p>
        </w:tc>
        <w:tc>
          <w:tcPr>
            <w:tcW w:type="dxa" w:w="1661"/>
          </w:tcPr>
          <w:p>
            <w:pPr>
              <w:pStyle w:val="null3"/>
            </w:pPr>
            <w:r>
              <w:rPr/>
              <w:t>供应商参与政府采购活动的承诺函 供应商认为有必要补充说明的事宜</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工作内容理解</w:t>
            </w:r>
          </w:p>
        </w:tc>
        <w:tc>
          <w:tcPr>
            <w:tcW w:type="dxa" w:w="2492"/>
          </w:tcPr>
          <w:p>
            <w:pPr>
              <w:pStyle w:val="null3"/>
            </w:pPr>
            <w:r>
              <w:rPr/>
              <w:t>对本项目工作目的、实施内容理解完全清晰，明确活动主题。能清楚描述工作任务目标，对项目内容把握准确。 ①目的、目标明确且内容详细完整，全面的计7.1-10分； ②目的、目标不明确，活动主题描述笼统且有一项欠缺的计4.1-7分； ③实施内容及主题未明确体现且有两项欠缺的计0.1-4分； ④未提供相关内容的不计分。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工作内容理解</w:t>
            </w:r>
          </w:p>
        </w:tc>
      </w:tr>
      <w:tr>
        <w:tc>
          <w:tcPr>
            <w:tcW w:type="dxa" w:w="831"/>
            <w:vMerge/>
          </w:tcPr>
          <w:p/>
        </w:tc>
        <w:tc>
          <w:tcPr>
            <w:tcW w:type="dxa" w:w="1661"/>
          </w:tcPr>
          <w:p>
            <w:pPr>
              <w:pStyle w:val="null3"/>
            </w:pPr>
            <w:r>
              <w:rPr/>
              <w:t>服务方案</w:t>
            </w:r>
          </w:p>
        </w:tc>
        <w:tc>
          <w:tcPr>
            <w:tcW w:type="dxa" w:w="2492"/>
          </w:tcPr>
          <w:p>
            <w:pPr>
              <w:pStyle w:val="null3"/>
            </w:pPr>
            <w:r>
              <w:rPr/>
              <w:t>提供项目服务方案，方案内容包括但不限于：活动策划方案、各场活动时间节点安排、活动布展搭建、现场服务方案等。 ①总体实施方案完全符合、满足采购需求，每项具有详细描述的计8.1-12分； ②实施方案内容有1项缺项的或分项描述不详细的，计4.1-8分； ③实施方案2项以上重大缺项的或无具体实施内容的，计0.1-4分； ④未提供相关内容的不计分。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媒体宣传方案</w:t>
            </w:r>
          </w:p>
        </w:tc>
        <w:tc>
          <w:tcPr>
            <w:tcW w:type="dxa" w:w="2492"/>
          </w:tcPr>
          <w:p>
            <w:pPr>
              <w:pStyle w:val="null3"/>
            </w:pPr>
            <w:r>
              <w:rPr/>
              <w:t>提供针对本项目的媒体宣传方案，方案内容详细、全面，内容新颖、特色、创新。 ①方案新颖、切实可行，特色且创新，完全满足采购需求的计7.1-10分； ②方案内容传统，无创新的计4.1-7分； ③方案内容简单，无具体措施内容的计0.1-4分； ④未提供相关内容的不计分。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媒体宣传方案</w:t>
            </w:r>
          </w:p>
        </w:tc>
      </w:tr>
      <w:tr>
        <w:tc>
          <w:tcPr>
            <w:tcW w:type="dxa" w:w="831"/>
            <w:vMerge/>
          </w:tcPr>
          <w:p/>
        </w:tc>
        <w:tc>
          <w:tcPr>
            <w:tcW w:type="dxa" w:w="1661"/>
          </w:tcPr>
          <w:p>
            <w:pPr>
              <w:pStyle w:val="null3"/>
            </w:pPr>
            <w:r>
              <w:rPr/>
              <w:t>服务团队</w:t>
            </w:r>
          </w:p>
        </w:tc>
        <w:tc>
          <w:tcPr>
            <w:tcW w:type="dxa" w:w="2492"/>
          </w:tcPr>
          <w:p>
            <w:pPr>
              <w:pStyle w:val="null3"/>
            </w:pPr>
            <w:r>
              <w:rPr/>
              <w:t>针对本项目具有专业的策划、宣传服务和执行团队；拟派项目负责人工作经验丰富，拟派项目团队人员数量、专业安排合理、工作经验丰富、岗位职责明确清晰，服务团队的管理机制、管理制度； ①团队人员数量、专业安排合理，职责明确清晰的计8.1-12分； ②具有人员团队，未明确专业或岗位职责的5.1-8分； ③人员数量及专业安排不具备完成本项目能力的计3.1-5分； ④工作经验不足，内容缺项或只有框架无详细内容的计0.1-3分； ⑤未提供相关内容的不计分。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服务团队</w:t>
            </w:r>
          </w:p>
        </w:tc>
      </w:tr>
      <w:tr>
        <w:tc>
          <w:tcPr>
            <w:tcW w:type="dxa" w:w="831"/>
            <w:vMerge/>
          </w:tcPr>
          <w:p/>
        </w:tc>
        <w:tc>
          <w:tcPr>
            <w:tcW w:type="dxa" w:w="1661"/>
          </w:tcPr>
          <w:p>
            <w:pPr>
              <w:pStyle w:val="null3"/>
            </w:pPr>
            <w:r>
              <w:rPr/>
              <w:t>服务保障措施</w:t>
            </w:r>
          </w:p>
        </w:tc>
        <w:tc>
          <w:tcPr>
            <w:tcW w:type="dxa" w:w="2492"/>
          </w:tcPr>
          <w:p>
            <w:pPr>
              <w:pStyle w:val="null3"/>
            </w:pPr>
            <w:r>
              <w:rPr/>
              <w:t>提供针对本项目的服务保障方案，保障方案内容包括但不限于活动组织保障、服务团队保障、活动安全保障、信息安全保障、后勤服务保障等，有服务质量保障方案及措施等，根据提供的保障方案全面性、完整性及细致性等方面进行赋分。 ①方案内容详细、全面，无缺项漏项的计8.1-12分； ②服务流程衔接不紧密，有一项欠缺的或未详细描述的计5.1-8分； ③服务保证方案内容有两项欠缺的或内容描述粗略的计3.1-5分； ④服务保障方案内容三项欠缺的或无具体措施的计0.1-3分； ⑤未提供相关内容的不计分。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服务保障措施</w:t>
            </w:r>
          </w:p>
        </w:tc>
      </w:tr>
      <w:tr>
        <w:tc>
          <w:tcPr>
            <w:tcW w:type="dxa" w:w="831"/>
            <w:vMerge/>
          </w:tcPr>
          <w:p/>
        </w:tc>
        <w:tc>
          <w:tcPr>
            <w:tcW w:type="dxa" w:w="1661"/>
          </w:tcPr>
          <w:p>
            <w:pPr>
              <w:pStyle w:val="null3"/>
            </w:pPr>
            <w:r>
              <w:rPr/>
              <w:t>应急方案及措施</w:t>
            </w:r>
          </w:p>
        </w:tc>
        <w:tc>
          <w:tcPr>
            <w:tcW w:type="dxa" w:w="2492"/>
          </w:tcPr>
          <w:p>
            <w:pPr>
              <w:pStyle w:val="null3"/>
            </w:pPr>
            <w:r>
              <w:rPr/>
              <w:t>针对本项目可能发生突发事件的应急方案及处理措施。 ①方案及措施内容描述详细完整，切合实际情况的计4.1-8分； ②方案内容粗略，无突发事件具体处理措施的计0.1-4分。 ③未提供相关内容的不计分。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应急方案及措施</w:t>
            </w:r>
          </w:p>
        </w:tc>
      </w:tr>
      <w:tr>
        <w:tc>
          <w:tcPr>
            <w:tcW w:type="dxa" w:w="831"/>
            <w:vMerge/>
          </w:tcPr>
          <w:p/>
        </w:tc>
        <w:tc>
          <w:tcPr>
            <w:tcW w:type="dxa" w:w="1661"/>
          </w:tcPr>
          <w:p>
            <w:pPr>
              <w:pStyle w:val="null3"/>
            </w:pPr>
            <w:r>
              <w:rPr/>
              <w:t>保密措施</w:t>
            </w:r>
          </w:p>
        </w:tc>
        <w:tc>
          <w:tcPr>
            <w:tcW w:type="dxa" w:w="2492"/>
          </w:tcPr>
          <w:p>
            <w:pPr>
              <w:pStyle w:val="null3"/>
            </w:pPr>
            <w:r>
              <w:rPr/>
              <w:t>供应商对其所获取的信息提供切实可行的保密措施及承诺， ①保密方案完整、措施合理的计3.1-6分； ②保密方案仅有框架，无具体措施的计0.1-3分； ③未提供相关内容的不计分。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保密措施</w:t>
            </w:r>
          </w:p>
        </w:tc>
      </w:tr>
      <w:tr>
        <w:tc>
          <w:tcPr>
            <w:tcW w:type="dxa" w:w="831"/>
            <w:vMerge/>
          </w:tcPr>
          <w:p/>
        </w:tc>
        <w:tc>
          <w:tcPr>
            <w:tcW w:type="dxa" w:w="1661"/>
          </w:tcPr>
          <w:p>
            <w:pPr>
              <w:pStyle w:val="null3"/>
            </w:pPr>
            <w:r>
              <w:rPr/>
              <w:t>服务承诺及合理化建议1</w:t>
            </w:r>
          </w:p>
        </w:tc>
        <w:tc>
          <w:tcPr>
            <w:tcW w:type="dxa" w:w="2492"/>
          </w:tcPr>
          <w:p>
            <w:pPr>
              <w:pStyle w:val="null3"/>
            </w:pPr>
            <w:r>
              <w:rPr/>
              <w:t>供应商针对本项目有良好、积极的工作态度，能够在活动现场及时配合采购人的工作，能为采购人提供相关后续咨询服务、提供定期回访服务等。 ①服务承诺内容详细，满足采购人需求的计3.1-6分； ②服务承诺内容笼统，欠缺的计0.1-3分； ③未提供相关内容的不计分。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服务承诺及合理化建议</w:t>
            </w:r>
          </w:p>
        </w:tc>
      </w:tr>
      <w:tr>
        <w:tc>
          <w:tcPr>
            <w:tcW w:type="dxa" w:w="831"/>
            <w:vMerge/>
          </w:tcPr>
          <w:p/>
        </w:tc>
        <w:tc>
          <w:tcPr>
            <w:tcW w:type="dxa" w:w="1661"/>
          </w:tcPr>
          <w:p>
            <w:pPr>
              <w:pStyle w:val="null3"/>
            </w:pPr>
            <w:r>
              <w:rPr/>
              <w:t>服务承诺及合理化建议2</w:t>
            </w:r>
          </w:p>
        </w:tc>
        <w:tc>
          <w:tcPr>
            <w:tcW w:type="dxa" w:w="2492"/>
          </w:tcPr>
          <w:p>
            <w:pPr>
              <w:pStyle w:val="null3"/>
            </w:pPr>
            <w:r>
              <w:rPr/>
              <w:t>供应商针对本项目提出的其他合理化建议及意见，有益于本项目在实施过程、服务质量等方面进行改进的计0.1-4分；未提供相关内容的不计分。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服务承诺及合理化建议</w:t>
            </w:r>
          </w:p>
        </w:tc>
      </w:tr>
      <w:tr>
        <w:tc>
          <w:tcPr>
            <w:tcW w:type="dxa" w:w="831"/>
            <w:vMerge/>
          </w:tcPr>
          <w:p/>
        </w:tc>
        <w:tc>
          <w:tcPr>
            <w:tcW w:type="dxa" w:w="1661"/>
          </w:tcPr>
          <w:p>
            <w:pPr>
              <w:pStyle w:val="null3"/>
            </w:pPr>
            <w:r>
              <w:rPr/>
              <w:t>业绩</w:t>
            </w:r>
          </w:p>
        </w:tc>
        <w:tc>
          <w:tcPr>
            <w:tcW w:type="dxa" w:w="2492"/>
          </w:tcPr>
          <w:p>
            <w:pPr>
              <w:pStyle w:val="null3"/>
            </w:pPr>
            <w:r>
              <w:rPr/>
              <w:t>以合同或中标通知书的形式提供供应商2021年1月至今招聘类项目业绩，每提供一个业绩证明材料计2分，满分10分。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详见附件：《拒绝政府采购领域商业贿赂承诺书》</w:t>
      </w:r>
    </w:p>
    <w:p>
      <w:pPr>
        <w:pStyle w:val="null3"/>
        <w:ind w:firstLine="960"/>
      </w:pPr>
      <w:r>
        <w:rPr/>
        <w:t>详见附件：保密措施</w:t>
      </w:r>
    </w:p>
    <w:p>
      <w:pPr>
        <w:pStyle w:val="null3"/>
        <w:ind w:firstLine="960"/>
      </w:pPr>
      <w:r>
        <w:rPr/>
        <w:t>详见附件：法定代表人授权书</w:t>
      </w:r>
    </w:p>
    <w:p>
      <w:pPr>
        <w:pStyle w:val="null3"/>
        <w:ind w:firstLine="960"/>
      </w:pPr>
      <w:r>
        <w:rPr/>
        <w:t>详见附件：分项报价</w:t>
      </w:r>
    </w:p>
    <w:p>
      <w:pPr>
        <w:pStyle w:val="null3"/>
        <w:ind w:firstLine="960"/>
      </w:pPr>
      <w:r>
        <w:rPr/>
        <w:t>详见附件：服务保障措施</w:t>
      </w:r>
    </w:p>
    <w:p>
      <w:pPr>
        <w:pStyle w:val="null3"/>
        <w:ind w:firstLine="960"/>
      </w:pPr>
      <w:r>
        <w:rPr/>
        <w:t>详见附件：服务承诺及合理化建议</w:t>
      </w:r>
    </w:p>
    <w:p>
      <w:pPr>
        <w:pStyle w:val="null3"/>
        <w:ind w:firstLine="960"/>
      </w:pPr>
      <w:r>
        <w:rPr/>
        <w:t>详见附件：服务方案</w:t>
      </w:r>
    </w:p>
    <w:p>
      <w:pPr>
        <w:pStyle w:val="null3"/>
        <w:ind w:firstLine="960"/>
      </w:pPr>
      <w:r>
        <w:rPr/>
        <w:t>详见附件：服务条款响应偏离表</w:t>
      </w:r>
    </w:p>
    <w:p>
      <w:pPr>
        <w:pStyle w:val="null3"/>
        <w:ind w:firstLine="960"/>
      </w:pPr>
      <w:r>
        <w:rPr/>
        <w:t>详见附件：服务团队</w:t>
      </w:r>
    </w:p>
    <w:p>
      <w:pPr>
        <w:pStyle w:val="null3"/>
        <w:ind w:firstLine="960"/>
      </w:pPr>
      <w:r>
        <w:rPr/>
        <w:t>详见附件：工作内容理解</w:t>
      </w:r>
    </w:p>
    <w:p>
      <w:pPr>
        <w:pStyle w:val="null3"/>
        <w:ind w:firstLine="960"/>
      </w:pPr>
      <w:r>
        <w:rPr/>
        <w:t>详见附件：供应商参与政府采购活动的承诺函</w:t>
      </w:r>
    </w:p>
    <w:p>
      <w:pPr>
        <w:pStyle w:val="null3"/>
        <w:ind w:firstLine="960"/>
      </w:pPr>
      <w:r>
        <w:rPr/>
        <w:t>详见附件：供应商认为有必要补充说明的事宜</w:t>
      </w:r>
    </w:p>
    <w:p>
      <w:pPr>
        <w:pStyle w:val="null3"/>
        <w:ind w:firstLine="960"/>
      </w:pPr>
      <w:r>
        <w:rPr/>
        <w:t>详见附件：媒体宣传方案</w:t>
      </w:r>
    </w:p>
    <w:p>
      <w:pPr>
        <w:pStyle w:val="null3"/>
        <w:ind w:firstLine="960"/>
      </w:pPr>
      <w:r>
        <w:rPr/>
        <w:t>详见附件：商务条款响应偏离表</w:t>
      </w:r>
    </w:p>
    <w:p>
      <w:pPr>
        <w:pStyle w:val="null3"/>
        <w:ind w:firstLine="960"/>
      </w:pPr>
      <w:r>
        <w:rPr/>
        <w:t>详见附件：业绩</w:t>
      </w:r>
    </w:p>
    <w:p>
      <w:pPr>
        <w:pStyle w:val="null3"/>
        <w:ind w:firstLine="960"/>
      </w:pPr>
      <w:r>
        <w:rPr/>
        <w:t>详见附件：应急方案及措施</w:t>
      </w:r>
    </w:p>
    <w:p>
      <w:pPr>
        <w:pStyle w:val="null3"/>
        <w:ind w:firstLine="960"/>
      </w:pPr>
      <w:r>
        <w:rPr/>
        <w:t>详见附件：资格证明文件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