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版本号：240621001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全区照明设施管护</w:t>
      </w:r>
    </w:p>
    <w:p>
      <w:pPr>
        <w:pStyle w:val="null3"/>
        <w:jc w:val="center"/>
        <w:outlineLvl w:val="2"/>
      </w:pPr>
      <w:r>
        <w:rPr>
          <w:sz w:val="28"/>
          <w:b/>
        </w:rPr>
        <w:t>采购项目编号：</w:t>
      </w:r>
      <w:r>
        <w:rPr>
          <w:sz w:val="28"/>
          <w:b/>
        </w:rPr>
        <w:t>LC-ZC-2024-015</w:t>
      </w:r>
      <w:r>
        <w:br/>
      </w:r>
      <w:r>
        <w:br/>
      </w:r>
      <w:r>
        <w:br/>
      </w:r>
    </w:p>
    <w:p>
      <w:pPr>
        <w:pStyle w:val="null3"/>
        <w:jc w:val="center"/>
        <w:outlineLvl w:val="2"/>
      </w:pPr>
      <w:r>
        <w:rPr>
          <w:sz w:val="28"/>
          <w:b/>
        </w:rPr>
        <w:t>西安市新城区城市管理和综合执法局</w:t>
      </w:r>
    </w:p>
    <w:p>
      <w:pPr>
        <w:pStyle w:val="null3"/>
        <w:jc w:val="center"/>
        <w:outlineLvl w:val="2"/>
      </w:pPr>
      <w:r>
        <w:rPr>
          <w:sz w:val="28"/>
          <w:b/>
        </w:rPr>
        <w:t>陕西龙辰全过程工程咨询有限公司</w:t>
      </w:r>
      <w:r>
        <w:rPr>
          <w:sz w:val="28"/>
          <w:b/>
        </w:rPr>
        <w:t>共同编制</w:t>
      </w:r>
    </w:p>
    <w:p>
      <w:pPr>
        <w:pStyle w:val="null3"/>
        <w:jc w:val="center"/>
        <w:outlineLvl w:val="2"/>
      </w:pPr>
      <w:r>
        <w:rPr>
          <w:sz w:val="28"/>
          <w:b/>
        </w:rPr>
        <w:t>2024年06月21日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陕西龙辰全过程工程咨询有限公司</w:t>
      </w:r>
      <w:r>
        <w:rPr/>
        <w:t>（以下简称“代理机构”）受</w:t>
      </w:r>
      <w:r>
        <w:rPr/>
        <w:t>西安市新城区城市管理和综合执法局</w:t>
      </w:r>
      <w:r>
        <w:rPr/>
        <w:t>委托，拟对</w:t>
      </w:r>
      <w:r>
        <w:rPr/>
        <w:t>全区照明设施管护</w:t>
      </w:r>
      <w:r>
        <w:rPr/>
        <w:t>采用竞争性磋商采购方式进行采购，兹邀请供应商参加本项目的竞争性磋商。</w:t>
      </w:r>
    </w:p>
    <w:p>
      <w:pPr>
        <w:pStyle w:val="null3"/>
        <w:outlineLvl w:val="2"/>
      </w:pPr>
      <w:r>
        <w:rPr>
          <w:sz w:val="28"/>
          <w:b/>
        </w:rPr>
        <w:t>一、项目编号：</w:t>
      </w:r>
      <w:r>
        <w:rPr>
          <w:sz w:val="28"/>
          <w:b/>
        </w:rPr>
        <w:t>LC-ZC-2024-015</w:t>
      </w:r>
    </w:p>
    <w:p>
      <w:pPr>
        <w:pStyle w:val="null3"/>
        <w:outlineLvl w:val="2"/>
      </w:pPr>
      <w:r>
        <w:rPr>
          <w:sz w:val="28"/>
          <w:b/>
        </w:rPr>
        <w:t>二、项目名称：</w:t>
      </w:r>
      <w:r>
        <w:rPr>
          <w:sz w:val="28"/>
          <w:b/>
        </w:rPr>
        <w:t>全区照明设施管护</w:t>
      </w:r>
    </w:p>
    <w:p>
      <w:pPr>
        <w:pStyle w:val="null3"/>
        <w:outlineLvl w:val="2"/>
      </w:pPr>
      <w:r>
        <w:rPr>
          <w:sz w:val="28"/>
          <w:b/>
        </w:rPr>
        <w:t>三、磋商项目简介</w:t>
      </w:r>
    </w:p>
    <w:p>
      <w:pPr>
        <w:pStyle w:val="null3"/>
        <w:ind w:firstLine="480"/>
      </w:pPr>
      <w:r>
        <w:rPr/>
        <w:t>西安市新城区城市管理和综合执法局管护范围内全区现有区管照明设施进行日常维护巡查。</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采购包1（全区照明设施管护）：属于专门面向中小企业采购。</w:t>
      </w:r>
    </w:p>
    <w:p>
      <w:pPr>
        <w:pStyle w:val="null3"/>
        <w:ind w:firstLine="480"/>
      </w:pPr>
      <w:r>
        <w:rPr/>
        <w:t>（三）本项目的特定资格要求：</w:t>
      </w:r>
    </w:p>
    <w:p>
      <w:pPr>
        <w:pStyle w:val="null3"/>
      </w:pPr>
      <w:r>
        <w:rPr/>
        <w:t>采购包1：</w:t>
      </w:r>
    </w:p>
    <w:p>
      <w:pPr>
        <w:pStyle w:val="null3"/>
      </w:pPr>
      <w:r>
        <w:rPr/>
        <w:t>1、法定代表人（主要责任人）委托授权书/身份证明：法定代表人授权书（附法定代表人、被授权人身份证复印件）及被授权人身份证（法定代表人直接参加磋商，须提供法定代表人身份证明及身份证原件）</w:t>
      </w:r>
    </w:p>
    <w:p>
      <w:pPr>
        <w:pStyle w:val="null3"/>
      </w:pPr>
      <w:r>
        <w:rPr/>
        <w:t>2、信用记录审查：供应商不得为“信用中国”网站中列入失信被执行人和重大税收违法案件当事人名单的供应商，不得为中国政府采购网政府采购严重违法失信行为记录名单中被财政部门禁止参加政府采购活动的供应商。</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sz w:val="28"/>
          <w:b/>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西安市新城区城市管理和综合执法局</w:t>
      </w:r>
    </w:p>
    <w:p>
      <w:pPr>
        <w:pStyle w:val="null3"/>
      </w:pPr>
      <w:r>
        <w:rPr/>
        <w:t xml:space="preserve"> 地址： </w:t>
      </w:r>
      <w:r>
        <w:rPr/>
        <w:t>西安市新城区东五路83号民安大厦B座</w:t>
      </w:r>
    </w:p>
    <w:p>
      <w:pPr>
        <w:pStyle w:val="null3"/>
      </w:pPr>
      <w:r>
        <w:rPr/>
        <w:t xml:space="preserve"> 邮编： </w:t>
      </w:r>
      <w:r>
        <w:rPr/>
        <w:t>710005</w:t>
      </w:r>
    </w:p>
    <w:p>
      <w:pPr>
        <w:pStyle w:val="null3"/>
      </w:pPr>
      <w:r>
        <w:rPr/>
        <w:t xml:space="preserve"> 联系人： </w:t>
      </w:r>
      <w:r>
        <w:rPr/>
        <w:t>刘绍东</w:t>
      </w:r>
    </w:p>
    <w:p>
      <w:pPr>
        <w:pStyle w:val="null3"/>
      </w:pPr>
      <w:r>
        <w:rPr/>
        <w:t xml:space="preserve"> 联系电话： </w:t>
      </w:r>
      <w:r>
        <w:rPr/>
        <w:t>029-87312632</w:t>
      </w:r>
    </w:p>
    <w:p>
      <w:pPr>
        <w:pStyle w:val="null3"/>
        <w:outlineLvl w:val="3"/>
      </w:pPr>
      <w:r>
        <w:rPr>
          <w:sz w:val="24"/>
          <w:b/>
        </w:rPr>
        <w:t>代理机构：</w:t>
      </w:r>
      <w:r>
        <w:rPr>
          <w:sz w:val="24"/>
          <w:b/>
        </w:rPr>
        <w:t>陕西龙辰全过程工程咨询有限公司</w:t>
      </w:r>
    </w:p>
    <w:p>
      <w:pPr>
        <w:pStyle w:val="null3"/>
      </w:pPr>
      <w:r>
        <w:rPr/>
        <w:t xml:space="preserve"> 地址： </w:t>
      </w:r>
      <w:r>
        <w:rPr/>
        <w:t>西安市朱宏路3号陕西省统建管理办公室10楼（西安银行南侧）</w:t>
      </w:r>
    </w:p>
    <w:p>
      <w:pPr>
        <w:pStyle w:val="null3"/>
      </w:pPr>
      <w:r>
        <w:rPr/>
        <w:t xml:space="preserve"> 邮编： </w:t>
      </w:r>
      <w:r>
        <w:rPr/>
        <w:t>710016</w:t>
      </w:r>
    </w:p>
    <w:p>
      <w:pPr>
        <w:pStyle w:val="null3"/>
      </w:pPr>
      <w:r>
        <w:rPr/>
        <w:t xml:space="preserve"> 联系人： </w:t>
      </w:r>
      <w:r>
        <w:rPr/>
        <w:t>乔子霁</w:t>
      </w:r>
    </w:p>
    <w:p>
      <w:pPr>
        <w:pStyle w:val="null3"/>
      </w:pPr>
      <w:r>
        <w:rPr/>
        <w:t xml:space="preserve"> 联系电话： </w:t>
      </w:r>
      <w:r>
        <w:rPr/>
        <w:t>029-86350681</w:t>
      </w:r>
    </w:p>
    <w:p>
      <w:pPr>
        <w:pStyle w:val="null3"/>
        <w:outlineLvl w:val="3"/>
      </w:pPr>
      <w:r>
        <w:rPr>
          <w:sz w:val="24"/>
          <w:b/>
        </w:rPr>
        <w:t>采购监督机构：</w:t>
      </w:r>
      <w:r>
        <w:rPr>
          <w:sz w:val="24"/>
          <w:b/>
        </w:rPr>
        <w:t>西安市新城区政府采购管理股</w:t>
      </w:r>
    </w:p>
    <w:p>
      <w:pPr>
        <w:pStyle w:val="null3"/>
        <w:ind w:firstLine="480"/>
      </w:pPr>
      <w:r>
        <w:rPr/>
        <w:t>联系人：</w:t>
      </w:r>
      <w:r>
        <w:rPr/>
        <w:t>刘婷</w:t>
      </w:r>
    </w:p>
    <w:p>
      <w:pPr>
        <w:pStyle w:val="null3"/>
        <w:ind w:firstLine="480"/>
      </w:pPr>
      <w:r>
        <w:rPr/>
        <w:t>联系电话：</w:t>
      </w:r>
      <w:r>
        <w:rPr/>
        <w:t>029-87438480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采购包1：799,902.00元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照明灯具</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代理服务费收费标准：本项目收取代理服务费 代理服务费用收取对象：中标/成交供应商 代理服务费收费标准：以中标金额为基数，参照国家计委颁发的计价格〔2002〕1980号和发改办价格〔2003〕857号文件的有关规定计算，向成交供应商收取。</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西安市新城区城市管理和综合执法局</w:t>
      </w:r>
      <w:r>
        <w:rPr/>
        <w:t>和</w:t>
      </w:r>
      <w:r>
        <w:rPr/>
        <w:t>陕西龙辰全过程工程咨询有限公司</w:t>
      </w:r>
      <w:r>
        <w:rPr/>
        <w:t>享有。对磋商文件中供应商参加本次政府采购活动应当具备的条件，磋商项目技术、服务、商务及其他要求，评审细则及标准由</w:t>
      </w:r>
      <w:r>
        <w:rPr/>
        <w:t>西安市新城区城市管理和综合执法局</w:t>
      </w:r>
      <w:r>
        <w:rPr/>
        <w:t>负责解释。除上述磋商文件内容，其他内容由</w:t>
      </w:r>
      <w:r>
        <w:rPr/>
        <w:t>陕西龙辰全过程工程咨询有限公司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西安市新城区城市管理和综合执法局</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陕西龙辰全过程工程咨询有限公司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 xml:space="preserve"> 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满足采购人需求及相关行业要求</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陕西龙辰全过程工程咨询有限公司</w:t>
      </w:r>
      <w:r>
        <w:rPr/>
        <w:t xml:space="preserve"> 负责答复；供应商对除采购需求外的采购文件的询问、质疑由</w:t>
      </w:r>
      <w:r>
        <w:rPr/>
        <w:t>陕西龙辰全过程工程咨询有限公司</w:t>
      </w:r>
      <w:r>
        <w:rPr/>
        <w:t xml:space="preserve"> 负责答复；供应商对采购过程、采购结果的询问、质疑由 </w:t>
      </w:r>
      <w:r>
        <w:rPr/>
        <w:t>陕西龙辰全过程工程咨询有限公司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联系人：乔子霁</w:t>
      </w:r>
    </w:p>
    <w:p>
      <w:pPr>
        <w:pStyle w:val="null3"/>
      </w:pPr>
      <w:r>
        <w:rPr/>
        <w:t>联系电话：02986350681</w:t>
      </w:r>
    </w:p>
    <w:p>
      <w:pPr>
        <w:pStyle w:val="null3"/>
      </w:pPr>
      <w:r>
        <w:rPr/>
        <w:t>地址：西安市朱宏路3号陕西省统建管理办公室10楼（西安银行南侧）</w:t>
      </w:r>
    </w:p>
    <w:p>
      <w:pPr>
        <w:pStyle w:val="null3"/>
      </w:pPr>
      <w:r>
        <w:rPr/>
        <w:t>邮编：710016</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西安市新城区城市管理和综合执法局管护范围内全区现有区管照明设施进行日常维护巡查。</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799,902.00</w:t>
      </w:r>
    </w:p>
    <w:p>
      <w:pPr>
        <w:pStyle w:val="null3"/>
      </w:pPr>
      <w:r>
        <w:rPr/>
        <w:t>采购包最高限价（元）: 799,902.00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其他服务</w:t>
            </w:r>
          </w:p>
        </w:tc>
        <w:tc>
          <w:tcPr>
            <w:tcW w:type="dxa" w:w="831"/>
          </w:tcPr>
          <w:p>
            <w:pPr>
              <w:pStyle w:val="null3"/>
              <w:jc w:val="right"/>
            </w:pPr>
            <w:r>
              <w:rPr/>
              <w:t>1.00</w:t>
            </w:r>
          </w:p>
        </w:tc>
        <w:tc>
          <w:tcPr>
            <w:tcW w:type="dxa" w:w="831"/>
          </w:tcPr>
          <w:p>
            <w:pPr>
              <w:pStyle w:val="null3"/>
              <w:jc w:val="right"/>
            </w:pPr>
            <w:r>
              <w:rPr/>
              <w:t>799,902.00</w:t>
            </w:r>
          </w:p>
        </w:tc>
        <w:tc>
          <w:tcPr>
            <w:tcW w:type="dxa" w:w="831"/>
          </w:tcPr>
          <w:p>
            <w:pPr>
              <w:pStyle w:val="null3"/>
            </w:pPr>
            <w:r>
              <w:rPr/>
              <w:t>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是</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标的名称：其他服务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spacing w:before="315"/>
              <w:ind w:left="420"/>
            </w:pPr>
            <w:r>
              <w:rPr>
                <w:rFonts w:ascii="simsun" w:hAnsi="simsun" w:cs="simsun" w:eastAsia="simsun"/>
                <w:sz w:val="21"/>
                <w:b/>
              </w:rPr>
              <w:t>一、服务内容及要求</w:t>
            </w:r>
          </w:p>
          <w:p>
            <w:pPr>
              <w:pStyle w:val="null3"/>
              <w:ind w:firstLine="420"/>
              <w:jc w:val="left"/>
            </w:pPr>
            <w:r>
              <w:rPr>
                <w:rFonts w:ascii="simsun" w:hAnsi="simsun" w:cs="simsun" w:eastAsia="simsun"/>
                <w:sz w:val="21"/>
              </w:rPr>
              <w:t>西安市新城区城市管理和综合执法局管护范围内全区现有区管照明设施进行日常维护巡查。</w:t>
            </w:r>
            <w:r>
              <w:rPr>
                <w:rFonts w:ascii="simsun" w:hAnsi="simsun" w:cs="simsun" w:eastAsia="simsun"/>
                <w:sz w:val="21"/>
              </w:rPr>
              <w:t>按照现行的国家标准或国家行政部门颁布的法律法规、规章制度等行业标准进行巡查维护。进行维护队伍人员及设备要求：维护人至少6-8人，其中电工3-4人（具有国家认可的资质）；巡查车联至少一辆、高空作业车一辆。负责对全区现有区管照明设施进行日常维护巡查，照明设备正常运行；按照要求处理路灯投诉相关工单及路灯照明设施应急抢险工作。</w:t>
            </w:r>
          </w:p>
          <w:p>
            <w:pPr>
              <w:pStyle w:val="null3"/>
              <w:spacing w:before="315"/>
              <w:ind w:left="420"/>
            </w:pPr>
            <w:r>
              <w:rPr>
                <w:rFonts w:ascii="simsun" w:hAnsi="simsun" w:cs="simsun" w:eastAsia="simsun"/>
                <w:sz w:val="21"/>
                <w:b/>
              </w:rPr>
              <w:t>二、采购清单</w:t>
            </w:r>
          </w:p>
          <w:tbl>
            <w:tblPr>
              <w:tblBorders>
                <w:top w:val="single"/>
                <w:left w:val="single"/>
                <w:bottom w:val="single"/>
                <w:right w:val="single"/>
                <w:insideH w:val="single"/>
                <w:insideV w:val="single"/>
              </w:tblBorders>
            </w:tblPr>
            <w:tblGrid>
              <w:gridCol w:w="106"/>
              <w:gridCol w:w="238"/>
              <w:gridCol w:w="233"/>
              <w:gridCol w:w="218"/>
              <w:gridCol w:w="288"/>
              <w:gridCol w:w="126"/>
              <w:gridCol w:w="191"/>
              <w:gridCol w:w="178"/>
              <w:gridCol w:w="171"/>
              <w:gridCol w:w="198"/>
              <w:gridCol w:w="146"/>
              <w:gridCol w:w="121"/>
              <w:gridCol w:w="151"/>
              <w:gridCol w:w="178"/>
            </w:tblGrid>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序号</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道路</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起点</w:t>
                  </w: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终点</w:t>
                  </w: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灯具形式</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计量单位</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灯杆数量（基）</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灯杆高度（米）</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光源数量（盏）</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光源瓦数（瓦）</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损坏数量（预估）</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备品单价</w:t>
                  </w: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备品合计</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运维服务(元/年)</w:t>
                  </w:r>
                </w:p>
              </w:tc>
            </w:tr>
            <w:tr>
              <w:tc>
                <w:tcPr>
                  <w:tcW w:type="dxa" w:w="10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w:t>
                  </w:r>
                </w:p>
              </w:tc>
              <w:tc>
                <w:tcPr>
                  <w:tcW w:type="dxa" w:w="23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经九路</w:t>
                  </w:r>
                </w:p>
              </w:tc>
              <w:tc>
                <w:tcPr>
                  <w:tcW w:type="dxa" w:w="23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含元路</w:t>
                  </w:r>
                </w:p>
              </w:tc>
              <w:tc>
                <w:tcPr>
                  <w:tcW w:type="dxa" w:w="21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啤酒路</w:t>
                  </w:r>
                </w:p>
              </w:tc>
              <w:tc>
                <w:tcPr>
                  <w:tcW w:type="dxa" w:w="28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双臂路灯</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45</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12</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45</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400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3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233"/>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288"/>
                  <w:vMerge/>
                  <w:tcBorders>
                    <w:top w:val="single" w:color="000000" w:sz="4"/>
                    <w:left w:val="single" w:color="000000" w:sz="4"/>
                    <w:bottom w:val="single" w:color="000000" w:sz="4"/>
                    <w:right w:val="single" w:color="000000" w:sz="4"/>
                  </w:tcBorders>
                </w:tcP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vMerge/>
                  <w:tcBorders>
                    <w:top w:val="single" w:color="000000" w:sz="4"/>
                    <w:left w:val="single" w:color="000000" w:sz="4"/>
                    <w:bottom w:val="single" w:color="000000" w:sz="4"/>
                    <w:right w:val="single" w:color="000000" w:sz="4"/>
                  </w:tcBorders>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12</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45</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3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vMerge/>
                  <w:tcBorders>
                    <w:top w:val="single" w:color="000000" w:sz="4"/>
                    <w:left w:val="single" w:color="000000" w:sz="4"/>
                    <w:bottom w:val="single" w:color="000000" w:sz="4"/>
                    <w:right w:val="single" w:color="000000" w:sz="4"/>
                  </w:tcBorders>
                </w:tcPr>
                <w:p/>
              </w:tc>
            </w:tr>
            <w:tr>
              <w:tc>
                <w:tcPr>
                  <w:tcW w:type="dxa" w:w="106"/>
                  <w:vMerge/>
                  <w:tcBorders>
                    <w:top w:val="single" w:color="000000" w:sz="4"/>
                    <w:left w:val="single" w:color="000000" w:sz="4"/>
                    <w:bottom w:val="single" w:color="000000" w:sz="4"/>
                    <w:right w:val="singl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233"/>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三火灯</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6</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14</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18</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400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1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w:t>
                  </w:r>
                </w:p>
              </w:tc>
              <w:tc>
                <w:tcPr>
                  <w:tcW w:type="dxa" w:w="238"/>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太和路</w:t>
                  </w:r>
                </w:p>
              </w:tc>
              <w:tc>
                <w:tcPr>
                  <w:tcW w:type="dxa" w:w="233"/>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啤酒路</w:t>
                  </w:r>
                </w:p>
              </w:tc>
              <w:tc>
                <w:tcPr>
                  <w:tcW w:type="dxa" w:w="218"/>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八府庄北路</w:t>
                  </w:r>
                </w:p>
              </w:tc>
              <w:tc>
                <w:tcPr>
                  <w:tcW w:type="dxa" w:w="28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pPr>
                  <w:r>
                    <w:rPr>
                      <w:rFonts w:ascii="宋体" w:hAnsi="宋体" w:cs="宋体" w:eastAsia="宋体"/>
                      <w:sz w:val="15"/>
                      <w:color w:val="000000"/>
                    </w:rPr>
                    <w:t>单臂单光源</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13</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10.5</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13</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2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none" w:color="000000" w:sz="4"/>
                    <w:right w:val="single" w:color="000000" w:sz="4"/>
                  </w:tcBorders>
                </w:tcPr>
                <w:p/>
              </w:tc>
              <w:tc>
                <w:tcPr>
                  <w:tcW w:type="dxa" w:w="238"/>
                  <w:vMerge/>
                  <w:tcBorders>
                    <w:top w:val="single" w:color="000000" w:sz="4"/>
                    <w:left w:val="single" w:color="000000" w:sz="4"/>
                    <w:bottom w:val="none" w:color="000000" w:sz="4"/>
                    <w:right w:val="single" w:color="000000" w:sz="4"/>
                  </w:tcBorders>
                </w:tcPr>
                <w:p/>
              </w:tc>
              <w:tc>
                <w:tcPr>
                  <w:tcW w:type="dxa" w:w="233"/>
                  <w:vMerge/>
                  <w:tcBorders>
                    <w:top w:val="singl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箱变</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台</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125KVA</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3</w:t>
                  </w:r>
                </w:p>
              </w:tc>
              <w:tc>
                <w:tcPr>
                  <w:tcW w:type="dxa" w:w="23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太华南路</w:t>
                  </w:r>
                </w:p>
              </w:tc>
              <w:tc>
                <w:tcPr>
                  <w:tcW w:type="dxa" w:w="23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自强东路</w:t>
                  </w:r>
                </w:p>
              </w:tc>
              <w:tc>
                <w:tcPr>
                  <w:tcW w:type="dxa" w:w="21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啤酒路</w:t>
                  </w: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单臂单光源</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3</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11</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3</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1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233"/>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双臂单光源</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75</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11</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170</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8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233"/>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箱变</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台</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125KVA</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4</w:t>
                  </w:r>
                </w:p>
              </w:tc>
              <w:tc>
                <w:tcPr>
                  <w:tcW w:type="dxa" w:w="23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龙首北路东段</w:t>
                  </w:r>
                </w:p>
              </w:tc>
              <w:tc>
                <w:tcPr>
                  <w:tcW w:type="dxa" w:w="23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龙首东路</w:t>
                  </w:r>
                </w:p>
              </w:tc>
              <w:tc>
                <w:tcPr>
                  <w:tcW w:type="dxa" w:w="21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建强路</w:t>
                  </w: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单臂单光源</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23</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10.5</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36</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3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233"/>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LED</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3</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10.5</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36</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1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5</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东元西路</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八府庄北路</w:t>
                  </w: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东二环</w:t>
                  </w: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单火灯</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27</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10</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27</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4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6</w:t>
                  </w:r>
                </w:p>
              </w:tc>
              <w:tc>
                <w:tcPr>
                  <w:tcW w:type="dxa" w:w="23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东元西路西延伸</w:t>
                  </w:r>
                </w:p>
              </w:tc>
              <w:tc>
                <w:tcPr>
                  <w:tcW w:type="dxa" w:w="23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经九路</w:t>
                  </w:r>
                </w:p>
              </w:tc>
              <w:tc>
                <w:tcPr>
                  <w:tcW w:type="dxa" w:w="21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八府庄南北路</w:t>
                  </w:r>
                </w:p>
              </w:tc>
              <w:tc>
                <w:tcPr>
                  <w:tcW w:type="dxa" w:w="28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双臂单光源</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20</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10</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20</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3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233"/>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288"/>
                  <w:vMerge/>
                  <w:tcBorders>
                    <w:top w:val="single" w:color="000000" w:sz="4"/>
                    <w:left w:val="single" w:color="000000" w:sz="4"/>
                    <w:bottom w:val="single" w:color="000000" w:sz="4"/>
                    <w:right w:val="single" w:color="000000" w:sz="4"/>
                  </w:tcBorders>
                </w:tcP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vMerge/>
                  <w:tcBorders>
                    <w:top w:val="single" w:color="000000" w:sz="4"/>
                    <w:left w:val="single" w:color="000000" w:sz="4"/>
                    <w:bottom w:val="single" w:color="000000" w:sz="4"/>
                    <w:right w:val="single" w:color="000000" w:sz="4"/>
                  </w:tcBorders>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10</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20</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2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vMerge/>
                  <w:tcBorders>
                    <w:top w:val="single" w:color="000000" w:sz="4"/>
                    <w:left w:val="single" w:color="000000" w:sz="4"/>
                    <w:bottom w:val="single" w:color="000000" w:sz="4"/>
                    <w:right w:val="single" w:color="000000" w:sz="4"/>
                  </w:tcBorders>
                </w:tcPr>
                <w:p/>
              </w:tc>
            </w:tr>
            <w:tr>
              <w:tc>
                <w:tcPr>
                  <w:tcW w:type="dxa" w:w="106"/>
                  <w:vMerge/>
                  <w:tcBorders>
                    <w:top w:val="single" w:color="000000" w:sz="4"/>
                    <w:left w:val="single" w:color="000000" w:sz="4"/>
                    <w:bottom w:val="single" w:color="000000" w:sz="4"/>
                    <w:right w:val="singl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233"/>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三火灯</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3</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14</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9</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400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1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7</w:t>
                  </w:r>
                </w:p>
              </w:tc>
              <w:tc>
                <w:tcPr>
                  <w:tcW w:type="dxa" w:w="23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纱厂街</w:t>
                  </w:r>
                </w:p>
              </w:tc>
              <w:tc>
                <w:tcPr>
                  <w:tcW w:type="dxa" w:w="23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太华南路</w:t>
                  </w:r>
                </w:p>
              </w:tc>
              <w:tc>
                <w:tcPr>
                  <w:tcW w:type="dxa" w:w="21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沙厂东街</w:t>
                  </w: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单臂单光源</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12</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10</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12</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210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2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233"/>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三火灯</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12</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3</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1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8</w:t>
                  </w:r>
                </w:p>
              </w:tc>
              <w:tc>
                <w:tcPr>
                  <w:tcW w:type="dxa" w:w="23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龙首东路</w:t>
                  </w:r>
                </w:p>
              </w:tc>
              <w:tc>
                <w:tcPr>
                  <w:tcW w:type="dxa" w:w="233"/>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龙首北路</w:t>
                  </w:r>
                </w:p>
              </w:tc>
              <w:tc>
                <w:tcPr>
                  <w:tcW w:type="dxa" w:w="218"/>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龙首南路</w:t>
                  </w: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单臂单光源</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12</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10</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12</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2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233"/>
                  <w:vMerge/>
                  <w:tcBorders>
                    <w:top w:val="single" w:color="000000" w:sz="4"/>
                    <w:left w:val="single" w:color="000000" w:sz="4"/>
                    <w:bottom w:val="none" w:color="000000" w:sz="4"/>
                    <w:right w:val="single" w:color="000000" w:sz="4"/>
                  </w:tcBorders>
                </w:tcPr>
                <w:p/>
              </w:tc>
              <w:tc>
                <w:tcPr>
                  <w:tcW w:type="dxa" w:w="218"/>
                  <w:vMerge/>
                  <w:tcBorders>
                    <w:top w:val="single" w:color="000000" w:sz="4"/>
                    <w:left w:val="single" w:color="000000" w:sz="4"/>
                    <w:bottom w:val="none" w:color="000000" w:sz="4"/>
                    <w:right w:val="single" w:color="000000" w:sz="4"/>
                  </w:tcBorders>
                </w:tcP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箱变</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台</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80KVA</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9</w:t>
                  </w:r>
                </w:p>
              </w:tc>
              <w:tc>
                <w:tcPr>
                  <w:tcW w:type="dxa" w:w="23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建强路</w:t>
                  </w:r>
                </w:p>
              </w:tc>
              <w:tc>
                <w:tcPr>
                  <w:tcW w:type="dxa" w:w="23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龙首北路</w:t>
                  </w:r>
                </w:p>
              </w:tc>
              <w:tc>
                <w:tcPr>
                  <w:tcW w:type="dxa" w:w="21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联志路</w:t>
                  </w: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双臂路灯</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34</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10</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5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233"/>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太阳能双臂路灯</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22</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3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233"/>
                  <w:tcBorders>
                    <w:top w:val="none" w:color="000000" w:sz="4"/>
                    <w:left w:val="single" w:color="000000" w:sz="4"/>
                    <w:bottom w:val="single" w:color="000000" w:sz="4"/>
                    <w:right w:val="single" w:color="000000" w:sz="4"/>
                  </w:tcBorders>
                  <w:tcMar>
                    <w:top w:type="dxa" w:w="15"/>
                    <w:left w:type="dxa" w:w="15"/>
                    <w:right w:type="dxa" w:w="15"/>
                  </w:tcMar>
                  <w:vAlign w:val="center"/>
                </w:tcPr>
                <w:p/>
              </w:tc>
              <w:tc>
                <w:tcPr>
                  <w:tcW w:type="dxa" w:w="218"/>
                  <w:tcBorders>
                    <w:top w:val="none" w:color="000000" w:sz="4"/>
                    <w:left w:val="single" w:color="000000" w:sz="4"/>
                    <w:bottom w:val="single" w:color="000000" w:sz="4"/>
                    <w:right w:val="single" w:color="000000" w:sz="4"/>
                  </w:tcBorders>
                  <w:tcMar>
                    <w:top w:type="dxa" w:w="15"/>
                    <w:left w:type="dxa" w:w="15"/>
                    <w:right w:type="dxa" w:w="15"/>
                  </w:tcMar>
                  <w:vAlign w:val="center"/>
                </w:tcP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三火灯</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7</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14</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21</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400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1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联志路</w:t>
                  </w: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自强东路</w:t>
                  </w: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太阳能双臂路灯</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14</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10</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2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10</w:t>
                  </w:r>
                </w:p>
              </w:tc>
              <w:tc>
                <w:tcPr>
                  <w:tcW w:type="dxa" w:w="23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含元路</w:t>
                  </w:r>
                </w:p>
              </w:tc>
              <w:tc>
                <w:tcPr>
                  <w:tcW w:type="dxa" w:w="23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太华路</w:t>
                  </w:r>
                </w:p>
              </w:tc>
              <w:tc>
                <w:tcPr>
                  <w:tcW w:type="dxa" w:w="21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东二环</w:t>
                  </w: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单臂单光源</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57</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12</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57</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6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233"/>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箱变</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台</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80/100KVA</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11</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八府庄东西二号路规|东侧南北规划</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东侧南北规划</w:t>
                  </w: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八府庄北路</w:t>
                  </w: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单臂单光源</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4</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11</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4</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1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12</w:t>
                  </w:r>
                </w:p>
              </w:tc>
              <w:tc>
                <w:tcPr>
                  <w:tcW w:type="dxa" w:w="23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八府庄园安置小区规划路</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含元路</w:t>
                  </w:r>
                </w:p>
              </w:tc>
              <w:tc>
                <w:tcPr>
                  <w:tcW w:type="dxa" w:w="21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啤酒路</w:t>
                  </w: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单臂单光源</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8</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10</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8</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180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1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含元路</w:t>
                  </w:r>
                </w:p>
              </w:tc>
              <w:tc>
                <w:tcPr>
                  <w:tcW w:type="dxa" w:w="218"/>
                  <w:vMerge/>
                  <w:tcBorders>
                    <w:top w:val="single" w:color="000000" w:sz="4"/>
                    <w:left w:val="single" w:color="000000" w:sz="4"/>
                    <w:bottom w:val="single" w:color="000000" w:sz="4"/>
                    <w:right w:val="single" w:color="000000" w:sz="4"/>
                  </w:tcBorders>
                </w:tcP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箱变</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台</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50KVA</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含元路</w:t>
                  </w:r>
                </w:p>
              </w:tc>
              <w:tc>
                <w:tcPr>
                  <w:tcW w:type="dxa" w:w="218"/>
                  <w:vMerge/>
                  <w:tcBorders>
                    <w:top w:val="single" w:color="000000" w:sz="4"/>
                    <w:left w:val="single" w:color="000000" w:sz="4"/>
                    <w:bottom w:val="single" w:color="000000" w:sz="4"/>
                    <w:right w:val="single" w:color="000000" w:sz="4"/>
                  </w:tcBorders>
                </w:tcP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单臂单光源</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43</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10</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43</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5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含元路</w:t>
                  </w: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东元西路</w:t>
                  </w: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单臂单光源</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13</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9</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13</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180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2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13</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二马路</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向荣巷</w:t>
                  </w: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太华路</w:t>
                  </w: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单火灯</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49</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12</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49</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6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14</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八府庄南路</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含元路</w:t>
                  </w: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西铁小区</w:t>
                  </w: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单火灯</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13</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12</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13</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2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15</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八府庄北路</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含元路</w:t>
                  </w: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八府庄南路</w:t>
                  </w: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单火灯</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9</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8</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9</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1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16</w:t>
                  </w:r>
                </w:p>
              </w:tc>
              <w:tc>
                <w:tcPr>
                  <w:tcW w:type="dxa" w:w="23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新兴路</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太华路向东</w:t>
                  </w: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铁路旁</w:t>
                  </w: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单火灯</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6</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15</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6</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1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太华路向东</w:t>
                  </w: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铁路旁</w:t>
                  </w: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单火灯</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5</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10</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5</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1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17</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童家巷隧道</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环城北路</w:t>
                  </w: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向北隧道</w:t>
                  </w: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隧道灯</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0</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6</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0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18</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西闸口隧道</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环城北路</w:t>
                  </w: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向北隧道</w:t>
                  </w: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隧道灯</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9</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10</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3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19</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八府庄南路隧道</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华清西路</w:t>
                  </w: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八府庄南路</w:t>
                  </w: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隧道灯</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360</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360</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43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20</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向荣巷</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二马路</w:t>
                  </w: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自强东路</w:t>
                  </w: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单火灯</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9</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12</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9</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1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21</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联志路</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向荣巷</w:t>
                  </w: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建强路</w:t>
                  </w: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单火灯</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19</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12</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19</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3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22</w:t>
                  </w:r>
                </w:p>
              </w:tc>
              <w:tc>
                <w:tcPr>
                  <w:tcW w:type="dxa" w:w="23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联志路先锋小区东侧巷</w:t>
                  </w:r>
                </w:p>
              </w:tc>
              <w:tc>
                <w:tcPr>
                  <w:tcW w:type="dxa" w:w="23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联志路</w:t>
                  </w:r>
                </w:p>
              </w:tc>
              <w:tc>
                <w:tcPr>
                  <w:tcW w:type="dxa" w:w="21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向北100米</w:t>
                  </w: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墙上灯</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0</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6</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40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0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233"/>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墙上灯</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0</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6</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200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0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23</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向荣街</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二马路</w:t>
                  </w: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自强东路</w:t>
                  </w: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单火灯</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5</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12</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5</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1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24</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联志后村</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龙首南区向东</w:t>
                  </w: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真理村</w:t>
                  </w: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单火灯</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4</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10</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4</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1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25</w:t>
                  </w:r>
                </w:p>
              </w:tc>
              <w:tc>
                <w:tcPr>
                  <w:tcW w:type="dxa" w:w="23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联志东村</w:t>
                  </w:r>
                </w:p>
              </w:tc>
              <w:tc>
                <w:tcPr>
                  <w:tcW w:type="dxa" w:w="23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建强路</w:t>
                  </w:r>
                </w:p>
              </w:tc>
              <w:tc>
                <w:tcPr>
                  <w:tcW w:type="dxa" w:w="21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真理村</w:t>
                  </w: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单火灯</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6</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10</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6</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125</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1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233"/>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单火灯</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5</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12</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5</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1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26</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真理村</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联志东村</w:t>
                  </w: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铁二村</w:t>
                  </w: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单火灯</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4</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10</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4</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1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27</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铁三中门前路</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龙首东路</w:t>
                  </w: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向东向北</w:t>
                  </w: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单火灯</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4</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12</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4</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1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28</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纱厂东侧路</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太华路</w:t>
                  </w: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建华路</w:t>
                  </w: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单火灯</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22</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12</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22</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3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29</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光明小区南侧路</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银河坊</w:t>
                  </w: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铁路旁</w:t>
                  </w: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单火灯</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4</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10</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4</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1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30</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光明小区东侧铁道路</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新兴路</w:t>
                  </w: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银河坊</w:t>
                  </w: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单火灯</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8</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10</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8</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1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31</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阳光路</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自强东路</w:t>
                  </w: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北关正街</w:t>
                  </w: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单臂单光源</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12</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10.5</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12</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2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32</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大华二坊</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太华南路</w:t>
                  </w: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建华路</w:t>
                  </w: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单臂单光源</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12</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10.5</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24</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2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33</w:t>
                  </w:r>
                </w:p>
              </w:tc>
              <w:tc>
                <w:tcPr>
                  <w:tcW w:type="dxa" w:w="23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大华一坊</w:t>
                  </w:r>
                </w:p>
              </w:tc>
              <w:tc>
                <w:tcPr>
                  <w:tcW w:type="dxa" w:w="23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太华南路</w:t>
                  </w:r>
                </w:p>
              </w:tc>
              <w:tc>
                <w:tcPr>
                  <w:tcW w:type="dxa" w:w="21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大华中学西侧</w:t>
                  </w: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单臂单光源</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5</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10.5</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5</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1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233"/>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双臂单光源</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8</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10.5</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16</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1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233"/>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三火灯</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12</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6</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400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1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34</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八府庄二坊</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铁路线</w:t>
                  </w: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八府庄北路</w:t>
                  </w: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单臂单光源</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17</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10.5</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17</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2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35</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八府庄园商业街</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含元路</w:t>
                  </w: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八府庄一坊</w:t>
                  </w: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单臂单光源</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6</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10.5</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6</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1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36</w:t>
                  </w:r>
                </w:p>
              </w:tc>
              <w:tc>
                <w:tcPr>
                  <w:tcW w:type="dxa" w:w="23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八府庄北路东侧规划路</w:t>
                  </w:r>
                </w:p>
              </w:tc>
              <w:tc>
                <w:tcPr>
                  <w:tcW w:type="dxa" w:w="23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含元路</w:t>
                  </w:r>
                </w:p>
              </w:tc>
              <w:tc>
                <w:tcPr>
                  <w:tcW w:type="dxa" w:w="21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东元西路</w:t>
                  </w: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双臂单光源</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9</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10.5</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18</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1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vMerge/>
                  <w:tcBorders>
                    <w:top w:val="single" w:color="000000" w:sz="4"/>
                    <w:left w:val="single" w:color="000000" w:sz="4"/>
                    <w:bottom w:val="single" w:color="000000" w:sz="4"/>
                    <w:right w:val="singl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233"/>
                  <w:vMerge/>
                  <w:tcBorders>
                    <w:top w:val="single" w:color="000000" w:sz="4"/>
                    <w:left w:val="single" w:color="000000" w:sz="4"/>
                    <w:bottom w:val="single" w:color="000000" w:sz="4"/>
                    <w:right w:val="single" w:color="000000" w:sz="4"/>
                  </w:tcBorders>
                </w:tcPr>
                <w:p/>
              </w:tc>
              <w:tc>
                <w:tcPr>
                  <w:tcW w:type="dxa" w:w="218"/>
                  <w:vMerge/>
                  <w:tcBorders>
                    <w:top w:val="single" w:color="000000" w:sz="4"/>
                    <w:left w:val="single" w:color="000000" w:sz="4"/>
                    <w:bottom w:val="single" w:color="000000" w:sz="4"/>
                    <w:right w:val="single" w:color="000000" w:sz="4"/>
                  </w:tcBorders>
                </w:tcP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三火灯</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13</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3</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400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1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37</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中天锦庭西侧规划路</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新兴路</w:t>
                  </w: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银河坊</w:t>
                  </w: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LED单光源</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5</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11</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5</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1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38</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含元北路</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含元路</w:t>
                  </w: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啤酒路</w:t>
                  </w: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单臂单光源</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21</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11</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21</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3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39</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八府庄一坊</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红旗专用线</w:t>
                  </w: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八府庄北路东</w:t>
                  </w: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单臂单光源</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9</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10</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9</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1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40</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建华路</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纱厂东街</w:t>
                  </w: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单臂单光源</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11</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18</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11</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2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41</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银河坊</w:t>
                  </w:r>
                </w:p>
              </w:tc>
              <w:tc>
                <w:tcPr>
                  <w:tcW w:type="dxa" w:w="23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太华南路</w:t>
                  </w:r>
                </w:p>
              </w:tc>
              <w:tc>
                <w:tcPr>
                  <w:tcW w:type="dxa" w:w="2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铁路旁</w:t>
                  </w:r>
                </w:p>
              </w:tc>
              <w:tc>
                <w:tcPr>
                  <w:tcW w:type="dxa" w:w="2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单臂单光源</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套</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14</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8</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14</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250</w:t>
                  </w: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2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42</w:t>
                  </w:r>
                </w:p>
              </w:tc>
              <w:tc>
                <w:tcPr>
                  <w:tcW w:type="dxa" w:w="977"/>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埋地电缆(包含开挖及回填)</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m</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 xml:space="preserve">2000 </w:t>
                  </w: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43</w:t>
                  </w:r>
                </w:p>
              </w:tc>
              <w:tc>
                <w:tcPr>
                  <w:tcW w:type="dxa" w:w="977"/>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特殊恶劣天气应急抢险</w:t>
                  </w:r>
                </w:p>
              </w:tc>
              <w:tc>
                <w:tcPr>
                  <w:tcW w:type="dxa" w:w="1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项</w:t>
                  </w:r>
                </w:p>
              </w:tc>
              <w:tc>
                <w:tcPr>
                  <w:tcW w:type="dxa" w:w="19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2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214"/>
                  <w:gridSpan w:val="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5"/>
                      <w:color w:val="000000"/>
                    </w:rPr>
                    <w:t>合计（元）</w:t>
                  </w:r>
                </w:p>
              </w:tc>
              <w:tc>
                <w:tcPr>
                  <w:tcW w:type="dxa" w:w="329"/>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tc>
            </w:tr>
          </w:tbl>
          <w:p>
            <w:pPr>
              <w:pStyle w:val="null3"/>
              <w:ind w:firstLine="480"/>
            </w:pPr>
            <w:r>
              <w:rPr/>
              <w:t xml:space="preserve"> </w:t>
            </w:r>
          </w:p>
        </w:tc>
      </w:tr>
    </w:tbl>
    <w:p>
      <w:pPr>
        <w:pStyle w:val="null3"/>
        <w:outlineLvl w:val="2"/>
      </w:pPr>
      <w:r>
        <w:rPr>
          <w:sz w:val="28"/>
          <w:b/>
        </w:rPr>
        <w:t>3.2.3人员配置要求</w:t>
      </w:r>
    </w:p>
    <w:p>
      <w:pPr>
        <w:pStyle w:val="null3"/>
      </w:pPr>
      <w:r>
        <w:rPr/>
        <w:t>采购包1：</w:t>
      </w:r>
    </w:p>
    <w:p>
      <w:pPr>
        <w:pStyle w:val="null3"/>
      </w:pPr>
      <w:r>
        <w:rPr/>
        <w:t>同服务要求</w:t>
      </w:r>
    </w:p>
    <w:p>
      <w:pPr>
        <w:pStyle w:val="null3"/>
        <w:outlineLvl w:val="2"/>
      </w:pPr>
      <w:r>
        <w:rPr>
          <w:sz w:val="28"/>
          <w:b/>
        </w:rPr>
        <w:t>3.2.4设施设备要求</w:t>
      </w:r>
    </w:p>
    <w:p>
      <w:pPr>
        <w:pStyle w:val="null3"/>
      </w:pPr>
      <w:r>
        <w:rPr/>
        <w:t>采购包1：</w:t>
      </w:r>
    </w:p>
    <w:p>
      <w:pPr>
        <w:pStyle w:val="null3"/>
      </w:pPr>
      <w:r>
        <w:rPr/>
        <w:t>同服务要求</w:t>
      </w:r>
    </w:p>
    <w:p>
      <w:pPr>
        <w:pStyle w:val="null3"/>
        <w:outlineLvl w:val="2"/>
      </w:pPr>
      <w:r>
        <w:rPr>
          <w:sz w:val="28"/>
          <w:b/>
        </w:rPr>
        <w:t>3.2.5其他要求</w:t>
      </w:r>
    </w:p>
    <w:p>
      <w:pPr>
        <w:pStyle w:val="null3"/>
      </w:pPr>
      <w:r>
        <w:rPr/>
        <w:t>采购包1：</w:t>
      </w:r>
    </w:p>
    <w:p>
      <w:pPr>
        <w:pStyle w:val="null3"/>
      </w:pPr>
      <w:r>
        <w:rPr/>
        <w:t>本项目采购的照明灯具产品属于节能产品政府采购品目清单中应强制采购的产品范围，供应商应当提供国家确定的认证机构出具的、处于有效期之内的节能产品认证证书，否则作无效响应处理。</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自合同签订之日起1年</w:t>
      </w:r>
    </w:p>
    <w:p>
      <w:pPr>
        <w:pStyle w:val="null3"/>
        <w:outlineLvl w:val="3"/>
      </w:pPr>
      <w:r>
        <w:rPr>
          <w:sz w:val="24"/>
          <w:b/>
        </w:rPr>
        <w:t>3.3.2服务地点</w:t>
      </w:r>
    </w:p>
    <w:p>
      <w:pPr>
        <w:pStyle w:val="null3"/>
      </w:pPr>
      <w:r>
        <w:rPr/>
        <w:t>采购包1：</w:t>
      </w:r>
    </w:p>
    <w:p>
      <w:pPr>
        <w:pStyle w:val="null3"/>
      </w:pPr>
      <w:r>
        <w:rPr/>
        <w:t>采购人指定地点</w:t>
      </w:r>
    </w:p>
    <w:p>
      <w:pPr>
        <w:pStyle w:val="null3"/>
        <w:outlineLvl w:val="3"/>
      </w:pPr>
      <w:r>
        <w:rPr>
          <w:sz w:val="24"/>
          <w:b/>
        </w:rPr>
        <w:t>3.3.3考核（验收）标准和方法</w:t>
      </w:r>
    </w:p>
    <w:p>
      <w:pPr>
        <w:pStyle w:val="null3"/>
      </w:pPr>
      <w:r>
        <w:rPr/>
        <w:t>采购包1：</w:t>
      </w:r>
    </w:p>
    <w:p>
      <w:pPr>
        <w:pStyle w:val="null3"/>
      </w:pPr>
      <w:r>
        <w:rPr/>
        <w:t>由采购人负责组织验收，验收合格须交接项目实施的全部资料，并填写项目验收报告单。验收须以合同、磋商文件及响应文件、澄清、及国家相应的标准、规范等为依据。</w:t>
      </w:r>
    </w:p>
    <w:p>
      <w:pPr>
        <w:pStyle w:val="null3"/>
        <w:outlineLvl w:val="3"/>
      </w:pPr>
      <w:r>
        <w:rPr>
          <w:sz w:val="24"/>
          <w:b/>
        </w:rPr>
        <w:t>3.3.4支付方式</w:t>
      </w:r>
    </w:p>
    <w:p>
      <w:pPr>
        <w:pStyle w:val="null3"/>
      </w:pPr>
      <w:r>
        <w:rPr/>
        <w:t>采购包1：</w:t>
      </w:r>
    </w:p>
    <w:p>
      <w:pPr>
        <w:pStyle w:val="null3"/>
      </w:pPr>
      <w:r>
        <w:rPr/>
        <w:t>分期付款</w:t>
      </w:r>
    </w:p>
    <w:p>
      <w:pPr>
        <w:pStyle w:val="null3"/>
        <w:outlineLvl w:val="3"/>
      </w:pPr>
      <w:r>
        <w:rPr>
          <w:sz w:val="24"/>
          <w:b/>
        </w:rPr>
        <w:t>3.3.5支付约定</w:t>
      </w:r>
    </w:p>
    <w:p>
      <w:pPr>
        <w:pStyle w:val="null3"/>
      </w:pPr>
      <w:r>
        <w:rPr/>
        <w:t>采购包1：</w:t>
      </w:r>
      <w:r>
        <w:rPr/>
        <w:t xml:space="preserve"> 付款条件说明： </w:t>
      </w:r>
      <w:r>
        <w:rPr/>
        <w:t>按季度据实结算</w:t>
      </w:r>
      <w:r>
        <w:rPr/>
        <w:t xml:space="preserve"> ，达到付款条件起 </w:t>
      </w:r>
      <w:r>
        <w:rPr/>
        <w:t>30</w:t>
      </w:r>
      <w:r>
        <w:rPr/>
        <w:t xml:space="preserve"> 日内，支付合同总金额的 </w:t>
      </w:r>
      <w:r>
        <w:rPr/>
        <w:t>25.00</w:t>
      </w:r>
      <w:r>
        <w:rPr/>
        <w:t>%。</w:t>
      </w:r>
    </w:p>
    <w:p>
      <w:pPr>
        <w:pStyle w:val="null3"/>
      </w:pPr>
      <w:r>
        <w:rPr/>
        <w:t>采购包1：</w:t>
      </w:r>
      <w:r>
        <w:rPr/>
        <w:t xml:space="preserve"> 付款条件说明： </w:t>
      </w:r>
      <w:r>
        <w:rPr/>
        <w:t>按季度据实结算</w:t>
      </w:r>
      <w:r>
        <w:rPr/>
        <w:t xml:space="preserve"> ，达到付款条件起 </w:t>
      </w:r>
      <w:r>
        <w:rPr/>
        <w:t>30</w:t>
      </w:r>
      <w:r>
        <w:rPr/>
        <w:t xml:space="preserve"> 日内，支付合同总金额的 </w:t>
      </w:r>
      <w:r>
        <w:rPr/>
        <w:t>25.00</w:t>
      </w:r>
      <w:r>
        <w:rPr/>
        <w:t>%。</w:t>
      </w:r>
    </w:p>
    <w:p>
      <w:pPr>
        <w:pStyle w:val="null3"/>
      </w:pPr>
      <w:r>
        <w:rPr/>
        <w:t>采购包1：</w:t>
      </w:r>
      <w:r>
        <w:rPr/>
        <w:t xml:space="preserve"> 付款条件说明： </w:t>
      </w:r>
      <w:r>
        <w:rPr/>
        <w:t>按季度据实结算</w:t>
      </w:r>
      <w:r>
        <w:rPr/>
        <w:t xml:space="preserve"> ，达到付款条件起 </w:t>
      </w:r>
      <w:r>
        <w:rPr/>
        <w:t>30</w:t>
      </w:r>
      <w:r>
        <w:rPr/>
        <w:t xml:space="preserve"> 日内，支付合同总金额的 </w:t>
      </w:r>
      <w:r>
        <w:rPr/>
        <w:t>25.00</w:t>
      </w:r>
      <w:r>
        <w:rPr/>
        <w:t>%。</w:t>
      </w:r>
    </w:p>
    <w:p>
      <w:pPr>
        <w:pStyle w:val="null3"/>
      </w:pPr>
      <w:r>
        <w:rPr/>
        <w:t>采购包1：</w:t>
      </w:r>
      <w:r>
        <w:rPr/>
        <w:t xml:space="preserve"> 付款条件说明： </w:t>
      </w:r>
      <w:r>
        <w:rPr/>
        <w:t>按季度据实结算</w:t>
      </w:r>
      <w:r>
        <w:rPr/>
        <w:t xml:space="preserve"> ，达到付款条件起 </w:t>
      </w:r>
      <w:r>
        <w:rPr/>
        <w:t>30</w:t>
      </w:r>
      <w:r>
        <w:rPr/>
        <w:t xml:space="preserve"> 日内，支付合同总金额的 </w:t>
      </w:r>
      <w:r>
        <w:rPr/>
        <w:t>25.00</w:t>
      </w:r>
      <w:r>
        <w:rPr/>
        <w:t>%。</w:t>
      </w:r>
    </w:p>
    <w:p>
      <w:pPr>
        <w:pStyle w:val="null3"/>
        <w:outlineLvl w:val="3"/>
      </w:pPr>
      <w:r>
        <w:rPr>
          <w:sz w:val="24"/>
          <w:b/>
        </w:rPr>
        <w:t>3.3.6违约责任及解决争议的方法</w:t>
      </w:r>
    </w:p>
    <w:p>
      <w:pPr>
        <w:pStyle w:val="null3"/>
      </w:pPr>
      <w:r>
        <w:rPr/>
        <w:t>采购包1：</w:t>
      </w:r>
    </w:p>
    <w:p>
      <w:pPr>
        <w:pStyle w:val="null3"/>
      </w:pPr>
      <w:r>
        <w:rPr/>
        <w:t>一、违约责任:按《中华人民共和国民法典》中的相关条款执行。二、解决争议:双方首先进行友好协商解决，如协商不成，任何一方可向采购人所在地有管辖权的人民法院提起诉讼。</w:t>
      </w:r>
    </w:p>
    <w:p>
      <w:pPr>
        <w:pStyle w:val="null3"/>
        <w:outlineLvl w:val="2"/>
      </w:pPr>
      <w:r>
        <w:rPr>
          <w:sz w:val="28"/>
          <w:b/>
        </w:rPr>
        <w:t>3.4其他要求</w:t>
      </w:r>
    </w:p>
    <w:p>
      <w:pPr>
        <w:pStyle w:val="null3"/>
      </w:pPr>
      <w:r>
        <w:rPr/>
        <w:t>1、落实的政府采购政策：（1）《政府采购促进中小企业发展管理办法》（财库〔2020〕46号）；（2）《关于政府采购支持监狱企业发展有关问题的通知》（财库〔2014〕68号）；（3）《国务院办公厅关于建立政府强制采购节能产品制度的通知》（国办发〔2007〕51号）；（4）《关于印发环境标志产品政府采购品目清单的通知》--（财库〔2019〕18号）；（5）《关于印发节能产品政府采购品目清单的通知》--（财库〔2019〕19号）；（6）《关于促进残疾人就业政府采购政策的通知》（财库〔2017〕141号）；（7）《财政部 发展改革委 生态环境部 市场监管总局关于调整优化节能产品、环境标志产品政府采购执行机制的通知》（财库〔2019〕9号）；（8）陕西省财政厅关于印发《陕西省中小企业政府采购信用融资办法》（陕财办采〔2018〕23号）；（9）其他需要落实的政府采购政策，如有最新颁布的政府采购政策，按最新的文件执行。2、履约验收：采购人自行验收。是否委托采购代理机构组织履约验收：否。 3、本项目所属行业为其他未列明行业，中小微企业划型标准为：从业人员300人以下的为中小微型企业。其中，从业人员100人及以上的为中型企业；从业人员 10人及以上的为小型企业；从业人员10人以下的为微型企业。 4、分支机构在参与投标时，须同时提供分支机构主体资格证 明文件和总公司（总所）出具的授权书，总公司（总所）只能授权一家分支机构。经总公司（总所）授权后，总公司（总所） 取得的相关资质证书对分支机构有效（法律法规或行业另有规定的除外）。 5、事业单位参与投标时，可不提供财务状况报告、社会保障资金和税收缴纳证明；依法免税或不需要缴纳社会保障资金的供应商，应提供相应证明文件，证明其依法免税或不需要缴纳社会保障资金。 6、供应商获取采购文件的，如不参与项目投标，应在递交投标文件递交截止时间前一日以书面形式告知采购代理机构。否则，采购代理机构可以向财政部门反映情况并提供相应的佐证。供应商一年内累计出现三次该情形,将被监管部门记录为失信行为。</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供应商需在项目电子化交易系统中按要求填写《响应函》完成承诺并进行电子签章，且按照资格证明文件中的格式，提供清晰、完整、有效的相关证明材料。</w:t>
            </w:r>
          </w:p>
        </w:tc>
        <w:tc>
          <w:tcPr>
            <w:tcW w:type="dxa" w:w="1661"/>
          </w:tcPr>
          <w:p>
            <w:pPr>
              <w:pStyle w:val="null3"/>
            </w:pPr>
            <w:r>
              <w:rPr/>
              <w:t>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法定代表人（主要责任人）委托授权书/身份证明</w:t>
            </w:r>
          </w:p>
        </w:tc>
        <w:tc>
          <w:tcPr>
            <w:tcW w:type="dxa" w:w="3322"/>
          </w:tcPr>
          <w:p>
            <w:pPr>
              <w:pStyle w:val="null3"/>
            </w:pPr>
            <w:r>
              <w:rPr/>
              <w:t>法定代表人授权书（附法定代表人、被授权人身份证复印件）及被授权人身份证（法定代表人直接参加磋商，须提供法定代表人身份证明及身份证原件）</w:t>
            </w:r>
          </w:p>
        </w:tc>
        <w:tc>
          <w:tcPr>
            <w:tcW w:type="dxa" w:w="1661"/>
          </w:tcPr>
          <w:p>
            <w:pPr>
              <w:pStyle w:val="null3"/>
            </w:pPr>
            <w:r>
              <w:rPr/>
              <w:t>资格证明文件</w:t>
            </w:r>
          </w:p>
        </w:tc>
      </w:tr>
      <w:tr>
        <w:tc>
          <w:tcPr>
            <w:tcW w:type="dxa" w:w="831"/>
          </w:tcPr>
          <w:p>
            <w:pPr>
              <w:pStyle w:val="null3"/>
            </w:pPr>
            <w:r>
              <w:rPr/>
              <w:t>2</w:t>
            </w:r>
          </w:p>
        </w:tc>
        <w:tc>
          <w:tcPr>
            <w:tcW w:type="dxa" w:w="2492"/>
          </w:tcPr>
          <w:p>
            <w:pPr>
              <w:pStyle w:val="null3"/>
            </w:pPr>
            <w:r>
              <w:rPr/>
              <w:t>信用记录审查</w:t>
            </w:r>
          </w:p>
        </w:tc>
        <w:tc>
          <w:tcPr>
            <w:tcW w:type="dxa" w:w="3322"/>
          </w:tcPr>
          <w:p>
            <w:pPr>
              <w:pStyle w:val="null3"/>
            </w:pPr>
            <w:r>
              <w:rPr/>
              <w:t>供应商不得为“信用中国”网站中列入失信被执行人和重大税收违法案件当事人名单的供应商，不得为中国政府采购网政府采购严重违法失信行为记录名单中被财政部门禁止参加政府采购活动的供应商。</w:t>
            </w:r>
          </w:p>
        </w:tc>
        <w:tc>
          <w:tcPr>
            <w:tcW w:type="dxa" w:w="1661"/>
          </w:tcPr>
          <w:p>
            <w:pPr>
              <w:pStyle w:val="null3"/>
            </w:pPr>
            <w:r>
              <w:rPr/>
              <w:t>响应文件封面</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报价表</w:t>
            </w:r>
          </w:p>
        </w:tc>
      </w:tr>
      <w:tr>
        <w:tc>
          <w:tcPr>
            <w:tcW w:type="dxa" w:w="831"/>
          </w:tcPr>
          <w:p>
            <w:pPr>
              <w:pStyle w:val="null3"/>
            </w:pPr>
            <w:r>
              <w:rPr/>
              <w:t>2</w:t>
            </w:r>
          </w:p>
        </w:tc>
        <w:tc>
          <w:tcPr>
            <w:tcW w:type="dxa" w:w="2492"/>
          </w:tcPr>
          <w:p>
            <w:pPr>
              <w:pStyle w:val="null3"/>
            </w:pPr>
            <w:r>
              <w:rPr/>
              <w:t>报价</w:t>
            </w:r>
          </w:p>
        </w:tc>
        <w:tc>
          <w:tcPr>
            <w:tcW w:type="dxa" w:w="3322"/>
          </w:tcPr>
          <w:p>
            <w:pPr>
              <w:pStyle w:val="null3"/>
            </w:pPr>
            <w:r>
              <w:rPr/>
              <w:t>只能有一个有效报价，不得提交选择性报价，且每轮报价不超过采购预算金额或磋商小组认为低于成本价的报价。</w:t>
            </w:r>
          </w:p>
        </w:tc>
        <w:tc>
          <w:tcPr>
            <w:tcW w:type="dxa" w:w="1661"/>
          </w:tcPr>
          <w:p>
            <w:pPr>
              <w:pStyle w:val="null3"/>
            </w:pPr>
            <w:r>
              <w:rPr/>
              <w:t>分项报价表 报价表</w:t>
            </w:r>
          </w:p>
        </w:tc>
      </w:tr>
      <w:tr>
        <w:tc>
          <w:tcPr>
            <w:tcW w:type="dxa" w:w="831"/>
          </w:tcPr>
          <w:p>
            <w:pPr>
              <w:pStyle w:val="null3"/>
            </w:pPr>
            <w:r>
              <w:rPr/>
              <w:t>3</w:t>
            </w:r>
          </w:p>
        </w:tc>
        <w:tc>
          <w:tcPr>
            <w:tcW w:type="dxa" w:w="2492"/>
          </w:tcPr>
          <w:p>
            <w:pPr>
              <w:pStyle w:val="null3"/>
            </w:pPr>
            <w:r>
              <w:rPr/>
              <w:t>投标文件有效期</w:t>
            </w:r>
          </w:p>
        </w:tc>
        <w:tc>
          <w:tcPr>
            <w:tcW w:type="dxa" w:w="3322"/>
          </w:tcPr>
          <w:p>
            <w:pPr>
              <w:pStyle w:val="null3"/>
            </w:pPr>
            <w:r>
              <w:rPr/>
              <w:t>符合竞争性磋商文件的要求</w:t>
            </w:r>
          </w:p>
        </w:tc>
        <w:tc>
          <w:tcPr>
            <w:tcW w:type="dxa" w:w="1661"/>
          </w:tcPr>
          <w:p>
            <w:pPr>
              <w:pStyle w:val="null3"/>
            </w:pPr>
            <w:r>
              <w:rPr/>
              <w:t>响应函</w:t>
            </w:r>
          </w:p>
        </w:tc>
      </w:tr>
      <w:tr>
        <w:tc>
          <w:tcPr>
            <w:tcW w:type="dxa" w:w="831"/>
          </w:tcPr>
          <w:p>
            <w:pPr>
              <w:pStyle w:val="null3"/>
            </w:pPr>
            <w:r>
              <w:rPr/>
              <w:t>4</w:t>
            </w:r>
          </w:p>
        </w:tc>
        <w:tc>
          <w:tcPr>
            <w:tcW w:type="dxa" w:w="2492"/>
          </w:tcPr>
          <w:p>
            <w:pPr>
              <w:pStyle w:val="null3"/>
            </w:pPr>
            <w:r>
              <w:rPr/>
              <w:t>响应情况</w:t>
            </w:r>
          </w:p>
        </w:tc>
        <w:tc>
          <w:tcPr>
            <w:tcW w:type="dxa" w:w="3322"/>
          </w:tcPr>
          <w:p>
            <w:pPr>
              <w:pStyle w:val="null3"/>
            </w:pPr>
            <w:r>
              <w:rPr/>
              <w:t>磋商响应文件内容应全面响应磋商文件要求，且无未实质性响应及无效标的情形</w:t>
            </w:r>
          </w:p>
        </w:tc>
        <w:tc>
          <w:tcPr>
            <w:tcW w:type="dxa" w:w="1661"/>
          </w:tcPr>
          <w:p>
            <w:pPr>
              <w:pStyle w:val="null3"/>
            </w:pPr>
            <w:r>
              <w:rPr/>
              <w:t>偏离表</w:t>
            </w:r>
          </w:p>
        </w:tc>
      </w:tr>
    </w:tbl>
    <w:p>
      <w:pPr>
        <w:pStyle w:val="null3"/>
        <w:outlineLvl w:val="3"/>
      </w:pPr>
      <w:r>
        <w:rPr>
          <w:sz w:val="24"/>
          <w:b/>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详细评审90.0000分</w:t>
            </w:r>
          </w:p>
          <w:p>
            <w:pPr>
              <w:pStyle w:val="null3"/>
            </w:pPr>
            <w:r>
              <w:rPr/>
              <w:t>报价得分10.0000分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服务方案</w:t>
            </w:r>
          </w:p>
        </w:tc>
        <w:tc>
          <w:tcPr>
            <w:tcW w:type="dxa" w:w="2492"/>
          </w:tcPr>
          <w:p>
            <w:pPr>
              <w:pStyle w:val="null3"/>
            </w:pPr>
            <w:r>
              <w:rPr/>
              <w:t>服务方案全面具体、内容完整、描述详尽，针对性强、可行性强、维护规范合理可行，完全满足项目要求的得12分； 服务方案全面具体、内容基本完整、描述简单，针对性一般、可行性一般、维护规范基本合理可行，基本满足项目要求的得10分； 服务方案粗略、内容不完整、描述简单，针对性较差、可行性较差、维护不够规范合理，不能完全满足项目要求的得5分，未提供得0分。</w:t>
            </w:r>
          </w:p>
        </w:tc>
        <w:tc>
          <w:tcPr>
            <w:tcW w:type="dxa" w:w="831"/>
          </w:tcPr>
          <w:p>
            <w:pPr>
              <w:pStyle w:val="null3"/>
              <w:jc w:val="right"/>
            </w:pPr>
            <w:r>
              <w:rPr/>
              <w:t>12.0000</w:t>
            </w:r>
          </w:p>
        </w:tc>
        <w:tc>
          <w:tcPr>
            <w:tcW w:type="dxa" w:w="831"/>
          </w:tcPr>
          <w:p>
            <w:pPr>
              <w:pStyle w:val="null3"/>
            </w:pPr>
            <w:r>
              <w:rPr/>
              <w:t>主观</w:t>
            </w:r>
          </w:p>
        </w:tc>
        <w:tc>
          <w:tcPr>
            <w:tcW w:type="dxa" w:w="1661"/>
          </w:tcPr>
          <w:p>
            <w:pPr>
              <w:pStyle w:val="null3"/>
            </w:pPr>
            <w:r>
              <w:rPr/>
              <w:t>投标方案</w:t>
            </w:r>
          </w:p>
        </w:tc>
      </w:tr>
      <w:tr>
        <w:tc>
          <w:tcPr>
            <w:tcW w:type="dxa" w:w="831"/>
            <w:vMerge/>
          </w:tcPr>
          <w:p/>
        </w:tc>
        <w:tc>
          <w:tcPr>
            <w:tcW w:type="dxa" w:w="1661"/>
          </w:tcPr>
          <w:p>
            <w:pPr>
              <w:pStyle w:val="null3"/>
            </w:pPr>
            <w:r>
              <w:rPr/>
              <w:t>运维保障服务</w:t>
            </w:r>
          </w:p>
        </w:tc>
        <w:tc>
          <w:tcPr>
            <w:tcW w:type="dxa" w:w="2492"/>
          </w:tcPr>
          <w:p>
            <w:pPr>
              <w:pStyle w:val="null3"/>
            </w:pPr>
            <w:r>
              <w:rPr/>
              <w:t>建立日常维护制度，按照要求期限排除故障，按要求定期进行巡检，分析系统运行状况，查看系统日志，排查故障和进行性能优化，进行预防性检测，以防患于未然，同时提供书面维护报告等。 评审依据： 服务标准清晰，针对性强，可行性高得12分； 服务标准较为清晰，针对性较好，可行性较好得10分； 服务标准不清晰，针对性差，可行性差得5分，未提供得0分。</w:t>
            </w:r>
          </w:p>
        </w:tc>
        <w:tc>
          <w:tcPr>
            <w:tcW w:type="dxa" w:w="831"/>
          </w:tcPr>
          <w:p>
            <w:pPr>
              <w:pStyle w:val="null3"/>
              <w:jc w:val="right"/>
            </w:pPr>
            <w:r>
              <w:rPr/>
              <w:t>12.0000</w:t>
            </w:r>
          </w:p>
        </w:tc>
        <w:tc>
          <w:tcPr>
            <w:tcW w:type="dxa" w:w="831"/>
          </w:tcPr>
          <w:p>
            <w:pPr>
              <w:pStyle w:val="null3"/>
            </w:pPr>
            <w:r>
              <w:rPr/>
              <w:t>主观</w:t>
            </w:r>
          </w:p>
        </w:tc>
        <w:tc>
          <w:tcPr>
            <w:tcW w:type="dxa" w:w="1661"/>
          </w:tcPr>
          <w:p>
            <w:pPr>
              <w:pStyle w:val="null3"/>
            </w:pPr>
            <w:r>
              <w:rPr/>
              <w:t>投标方案</w:t>
            </w:r>
          </w:p>
        </w:tc>
      </w:tr>
      <w:tr>
        <w:tc>
          <w:tcPr>
            <w:tcW w:type="dxa" w:w="831"/>
            <w:vMerge/>
          </w:tcPr>
          <w:p/>
        </w:tc>
        <w:tc>
          <w:tcPr>
            <w:tcW w:type="dxa" w:w="1661"/>
          </w:tcPr>
          <w:p>
            <w:pPr>
              <w:pStyle w:val="null3"/>
            </w:pPr>
            <w:r>
              <w:rPr/>
              <w:t>安全措施</w:t>
            </w:r>
          </w:p>
        </w:tc>
        <w:tc>
          <w:tcPr>
            <w:tcW w:type="dxa" w:w="2492"/>
          </w:tcPr>
          <w:p>
            <w:pPr>
              <w:pStyle w:val="null3"/>
            </w:pPr>
            <w:r>
              <w:rPr/>
              <w:t>内容完整，描述详尽，针对性、可行性强，完全满足项目要求的得10分； 内容完整，描述简单，针对性、可行性一般，基本满足项目要求的得8分； 内容粗略，描述简单，无针对性、可行性较差，不能满足项目要求的得3分，未提供得0分。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投标方案</w:t>
            </w:r>
          </w:p>
        </w:tc>
      </w:tr>
      <w:tr>
        <w:tc>
          <w:tcPr>
            <w:tcW w:type="dxa" w:w="831"/>
            <w:vMerge/>
          </w:tcPr>
          <w:p/>
        </w:tc>
        <w:tc>
          <w:tcPr>
            <w:tcW w:type="dxa" w:w="1661"/>
          </w:tcPr>
          <w:p>
            <w:pPr>
              <w:pStyle w:val="null3"/>
            </w:pPr>
            <w:r>
              <w:rPr/>
              <w:t>针对本项目的人员配备</w:t>
            </w:r>
          </w:p>
        </w:tc>
        <w:tc>
          <w:tcPr>
            <w:tcW w:type="dxa" w:w="2492"/>
          </w:tcPr>
          <w:p>
            <w:pPr>
              <w:pStyle w:val="null3"/>
            </w:pPr>
            <w:r>
              <w:rPr/>
              <w:t>项目团队综合实力强，服务团队配备合理，人员经验丰富、专业性强，满足本项目需求得12分 项目团队综合实力较好，服务团队配备较为合理，人员经验较为丰富、专业性较好，基本满足本项目需求得10分 项目团队综合实力较差，服务团队配备合理性一般，人员相关经验较浅、专业性一般得5分，未提供得0分。</w:t>
            </w:r>
          </w:p>
        </w:tc>
        <w:tc>
          <w:tcPr>
            <w:tcW w:type="dxa" w:w="831"/>
          </w:tcPr>
          <w:p>
            <w:pPr>
              <w:pStyle w:val="null3"/>
              <w:jc w:val="right"/>
            </w:pPr>
            <w:r>
              <w:rPr/>
              <w:t>12.0000</w:t>
            </w:r>
          </w:p>
        </w:tc>
        <w:tc>
          <w:tcPr>
            <w:tcW w:type="dxa" w:w="831"/>
          </w:tcPr>
          <w:p>
            <w:pPr>
              <w:pStyle w:val="null3"/>
            </w:pPr>
            <w:r>
              <w:rPr/>
              <w:t>主观</w:t>
            </w:r>
          </w:p>
        </w:tc>
        <w:tc>
          <w:tcPr>
            <w:tcW w:type="dxa" w:w="1661"/>
          </w:tcPr>
          <w:p>
            <w:pPr>
              <w:pStyle w:val="null3"/>
            </w:pPr>
            <w:r>
              <w:rPr/>
              <w:t>投标方案</w:t>
            </w:r>
          </w:p>
        </w:tc>
      </w:tr>
      <w:tr>
        <w:tc>
          <w:tcPr>
            <w:tcW w:type="dxa" w:w="831"/>
            <w:vMerge/>
          </w:tcPr>
          <w:p/>
        </w:tc>
        <w:tc>
          <w:tcPr>
            <w:tcW w:type="dxa" w:w="1661"/>
          </w:tcPr>
          <w:p>
            <w:pPr>
              <w:pStyle w:val="null3"/>
            </w:pPr>
            <w:r>
              <w:rPr/>
              <w:t>针对本项目的机械设备配备</w:t>
            </w:r>
          </w:p>
        </w:tc>
        <w:tc>
          <w:tcPr>
            <w:tcW w:type="dxa" w:w="2492"/>
          </w:tcPr>
          <w:p>
            <w:pPr>
              <w:pStyle w:val="null3"/>
            </w:pPr>
            <w:r>
              <w:rPr/>
              <w:t>机械设备及项目实施所需工具，配备科学、合理、充足，能满足本项目需求。 评审依据： 内容完整，描述详尽，针对性、可行性强，完全满足项目要求的得12分； 内容完整，描述简单，针对性、可行性一般，基本满足项目要求的得10分； 内容粗略，描述简单，无针对性、可行性较差，不能满足项目要求的得5分，未提供得0分。</w:t>
            </w:r>
          </w:p>
        </w:tc>
        <w:tc>
          <w:tcPr>
            <w:tcW w:type="dxa" w:w="831"/>
          </w:tcPr>
          <w:p>
            <w:pPr>
              <w:pStyle w:val="null3"/>
              <w:jc w:val="right"/>
            </w:pPr>
            <w:r>
              <w:rPr/>
              <w:t>12.0000</w:t>
            </w:r>
          </w:p>
        </w:tc>
        <w:tc>
          <w:tcPr>
            <w:tcW w:type="dxa" w:w="831"/>
          </w:tcPr>
          <w:p>
            <w:pPr>
              <w:pStyle w:val="null3"/>
            </w:pPr>
            <w:r>
              <w:rPr/>
              <w:t>主观</w:t>
            </w:r>
          </w:p>
        </w:tc>
        <w:tc>
          <w:tcPr>
            <w:tcW w:type="dxa" w:w="1661"/>
          </w:tcPr>
          <w:p>
            <w:pPr>
              <w:pStyle w:val="null3"/>
            </w:pPr>
            <w:r>
              <w:rPr/>
              <w:t>投标方案</w:t>
            </w:r>
          </w:p>
        </w:tc>
      </w:tr>
      <w:tr>
        <w:tc>
          <w:tcPr>
            <w:tcW w:type="dxa" w:w="831"/>
            <w:vMerge/>
          </w:tcPr>
          <w:p/>
        </w:tc>
        <w:tc>
          <w:tcPr>
            <w:tcW w:type="dxa" w:w="1661"/>
          </w:tcPr>
          <w:p>
            <w:pPr>
              <w:pStyle w:val="null3"/>
            </w:pPr>
            <w:r>
              <w:rPr/>
              <w:t>应急预案</w:t>
            </w:r>
          </w:p>
        </w:tc>
        <w:tc>
          <w:tcPr>
            <w:tcW w:type="dxa" w:w="2492"/>
          </w:tcPr>
          <w:p>
            <w:pPr>
              <w:pStyle w:val="null3"/>
            </w:pPr>
            <w:r>
              <w:rPr/>
              <w:t>应急预案完备健全，科学性强、合理性强、可操作性强得12分； 应急预案较为完备健全，科学性、合理性及可操作性较好得10分； 应急预案完备程度一般，方案合理性及可操作性较差得5分。未提供得0分。</w:t>
            </w:r>
          </w:p>
        </w:tc>
        <w:tc>
          <w:tcPr>
            <w:tcW w:type="dxa" w:w="831"/>
          </w:tcPr>
          <w:p>
            <w:pPr>
              <w:pStyle w:val="null3"/>
              <w:jc w:val="right"/>
            </w:pPr>
            <w:r>
              <w:rPr/>
              <w:t>12.0000</w:t>
            </w:r>
          </w:p>
        </w:tc>
        <w:tc>
          <w:tcPr>
            <w:tcW w:type="dxa" w:w="831"/>
          </w:tcPr>
          <w:p>
            <w:pPr>
              <w:pStyle w:val="null3"/>
            </w:pPr>
            <w:r>
              <w:rPr/>
              <w:t>主观</w:t>
            </w:r>
          </w:p>
        </w:tc>
        <w:tc>
          <w:tcPr>
            <w:tcW w:type="dxa" w:w="1661"/>
          </w:tcPr>
          <w:p>
            <w:pPr>
              <w:pStyle w:val="null3"/>
            </w:pPr>
            <w:r>
              <w:rPr/>
              <w:t>投标方案</w:t>
            </w:r>
          </w:p>
        </w:tc>
      </w:tr>
      <w:tr>
        <w:tc>
          <w:tcPr>
            <w:tcW w:type="dxa" w:w="831"/>
            <w:vMerge/>
          </w:tcPr>
          <w:p/>
        </w:tc>
        <w:tc>
          <w:tcPr>
            <w:tcW w:type="dxa" w:w="1661"/>
          </w:tcPr>
          <w:p>
            <w:pPr>
              <w:pStyle w:val="null3"/>
            </w:pPr>
            <w:r>
              <w:rPr/>
              <w:t>售后服务</w:t>
            </w:r>
          </w:p>
        </w:tc>
        <w:tc>
          <w:tcPr>
            <w:tcW w:type="dxa" w:w="2492"/>
          </w:tcPr>
          <w:p>
            <w:pPr>
              <w:pStyle w:val="null3"/>
            </w:pPr>
            <w:r>
              <w:rPr/>
              <w:t>对备品配件、设备发生故障后的补救措施，维修服务响应时限、设备返修管理等售后服务，有明确的承诺、切实可行。 评审依据： 内容完整，描述详尽，针对性、可行性强，完全满足项目要求的得10分； 内容完整，描述简单，针对性、可行性一般，基本满足项目要求的得8分； 内容粗略，描述简单，无针对性、可行性较差，不能满足项目要求的得3分。未提供得0分。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投标方案</w:t>
            </w:r>
          </w:p>
        </w:tc>
      </w:tr>
      <w:tr>
        <w:tc>
          <w:tcPr>
            <w:tcW w:type="dxa" w:w="831"/>
            <w:vMerge/>
          </w:tcPr>
          <w:p/>
        </w:tc>
        <w:tc>
          <w:tcPr>
            <w:tcW w:type="dxa" w:w="1661"/>
          </w:tcPr>
          <w:p>
            <w:pPr>
              <w:pStyle w:val="null3"/>
            </w:pPr>
            <w:r>
              <w:rPr/>
              <w:t>业绩</w:t>
            </w:r>
          </w:p>
        </w:tc>
        <w:tc>
          <w:tcPr>
            <w:tcW w:type="dxa" w:w="2492"/>
          </w:tcPr>
          <w:p>
            <w:pPr>
              <w:pStyle w:val="null3"/>
            </w:pPr>
            <w:r>
              <w:rPr/>
              <w:t>供应商提供2021年1月1日至今类似项目业绩：提供一项得2.5分，最多得10分（须提供合同或中标通知书复印件并加盖公章，否则不得分）。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投标方案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详见附件：报价表</w:t>
      </w:r>
    </w:p>
    <w:p>
      <w:pPr>
        <w:pStyle w:val="null3"/>
        <w:ind w:firstLine="960"/>
      </w:pPr>
      <w:r>
        <w:rPr/>
        <w:t>详见附件：标的清单</w:t>
      </w:r>
    </w:p>
    <w:p>
      <w:pPr>
        <w:pStyle w:val="null3"/>
        <w:ind w:firstLine="960"/>
      </w:pPr>
      <w:r>
        <w:rPr/>
        <w:t>详见附件：分项报价表</w:t>
      </w:r>
    </w:p>
    <w:p>
      <w:pPr>
        <w:pStyle w:val="null3"/>
        <w:ind w:firstLine="960"/>
      </w:pPr>
      <w:r>
        <w:rPr/>
        <w:t>详见附件：资格证明文件</w:t>
      </w:r>
    </w:p>
    <w:p>
      <w:pPr>
        <w:pStyle w:val="null3"/>
        <w:ind w:firstLine="960"/>
      </w:pPr>
      <w:r>
        <w:rPr/>
        <w:t>详见附件：偏离表</w:t>
      </w:r>
    </w:p>
    <w:p>
      <w:pPr>
        <w:pStyle w:val="null3"/>
        <w:ind w:firstLine="960"/>
      </w:pPr>
      <w:r>
        <w:rPr/>
        <w:t>详见附件：投标方案</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详见附件：拟签订合同文本.docx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