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版本号：SXJTZB-ZC-CS2025093020251010001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新城区2025年城市国土空间监测项目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SXJTZB-ZC-CS20250930</w:t>
      </w:r>
      <w:r>
        <w:br/>
      </w:r>
      <w:r>
        <w:br/>
      </w:r>
      <w:r>
        <w:br/>
      </w:r>
    </w:p>
    <w:p>
      <w:pPr>
        <w:pStyle w:val="null3"/>
        <w:jc w:val="center"/>
        <w:outlineLvl w:val="2"/>
      </w:pPr>
      <w:r>
        <w:rPr>
          <w:rFonts w:ascii="仿宋_GB2312" w:hAnsi="仿宋_GB2312" w:cs="仿宋_GB2312" w:eastAsia="仿宋_GB2312"/>
          <w:sz w:val="28"/>
          <w:b/>
        </w:rPr>
        <w:t>西安市自然资源和规划局新城分局</w:t>
      </w:r>
    </w:p>
    <w:p>
      <w:pPr>
        <w:pStyle w:val="null3"/>
        <w:jc w:val="center"/>
        <w:outlineLvl w:val="2"/>
      </w:pPr>
      <w:r>
        <w:rPr>
          <w:rFonts w:ascii="仿宋_GB2312" w:hAnsi="仿宋_GB2312" w:cs="仿宋_GB2312" w:eastAsia="仿宋_GB2312"/>
          <w:sz w:val="28"/>
          <w:b/>
        </w:rPr>
        <w:t>陕西嘉唐建设项目管理有限公司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陕西嘉唐建设项目管理有限公司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西安市自然资源和规划局新城分局</w:t>
      </w:r>
      <w:r>
        <w:rPr>
          <w:rFonts w:ascii="仿宋_GB2312" w:hAnsi="仿宋_GB2312" w:cs="仿宋_GB2312" w:eastAsia="仿宋_GB2312"/>
        </w:rPr>
        <w:t>委托，拟对</w:t>
      </w:r>
      <w:r>
        <w:rPr>
          <w:rFonts w:ascii="仿宋_GB2312" w:hAnsi="仿宋_GB2312" w:cs="仿宋_GB2312" w:eastAsia="仿宋_GB2312"/>
        </w:rPr>
        <w:t>新城区2025年城市国土空间监测项目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SXJTZB-ZC-CS20250930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新城区2025年城市国土空间监测项目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中共中央国务院关于建立国土空间规划体系并监督实施的若干意见》关于“建立健全国土空间规划动态监测评估预警和实施监管机制”的要求，对现行国务院审批总体规划城市(其他城市、建制镇)开展城市国土空间监测。新城区城市国土空间监测工作以以 2024年度国土变更调查成果为底图，在2024年城市国土空间监测成果基础上，依据2025年6月底之前的高分辨率遥感影像和最新的相关专题资料，结合实地调查等工作，在全区组织开展城市国土空间监测工作，掌握城市建设总量、用地结构、基础设施和服务功能等情况，支撑城市建设用地细化、国土空间规划编制及实施监督、国土空间规划城市体检评估、盘活存量土地、用途管制等国土空间治理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采购包1（新城区2025年城市国土空间监测项目）：属于专门面向中小企业采购。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1、主体资格证明文件：具有独立承担民事责任能力的法人或其他组织，提供有效存续的营业执照或事业单位法人证书或非企业专业服务机构执业许可证或民办非企业单位登记证书或自然人的身份证明；</w:t>
      </w:r>
    </w:p>
    <w:p>
      <w:pPr>
        <w:pStyle w:val="null3"/>
      </w:pPr>
      <w:r>
        <w:rPr>
          <w:rFonts w:ascii="仿宋_GB2312" w:hAnsi="仿宋_GB2312" w:cs="仿宋_GB2312" w:eastAsia="仿宋_GB2312"/>
        </w:rPr>
        <w:t>2、财务状况报告：提供经审计的2024年度完整的财务报告（成立时间至提交响应文件截止时间不足一年的可提供成立后任意时段的资产负债表）或在开标日期前六个月内其开户银行出具的资信证明，以上两种形式的资料提供任何一种即可（分支机构如无法提供财务审计报告，须出具包含分支机构的财务数据的总公司财务审计报告）；事业单位零余额账户提供相应证明;</w:t>
      </w:r>
    </w:p>
    <w:p>
      <w:pPr>
        <w:pStyle w:val="null3"/>
      </w:pPr>
      <w:r>
        <w:rPr>
          <w:rFonts w:ascii="仿宋_GB2312" w:hAnsi="仿宋_GB2312" w:cs="仿宋_GB2312" w:eastAsia="仿宋_GB2312"/>
        </w:rPr>
        <w:t>3、税收缴纳证明：提供已缴纳的2024年10月至今任意一个月的纳税证明或完税证明，纳税证明或完税证明上应有代收机 构或税务机关的公章或业务专用章。依法免税的供应商应提供相关文件证明；</w:t>
      </w:r>
    </w:p>
    <w:p>
      <w:pPr>
        <w:pStyle w:val="null3"/>
      </w:pPr>
      <w:r>
        <w:rPr>
          <w:rFonts w:ascii="仿宋_GB2312" w:hAnsi="仿宋_GB2312" w:cs="仿宋_GB2312" w:eastAsia="仿宋_GB2312"/>
        </w:rPr>
        <w:t>4、社会保障资金缴纳证明：提供已缴存的2024年10月至今任意一个月的社会保障资金缴存单据或社保机构开具的社会保险参保缴费情况证明，单据或证明上应有社保机构或代收机构的公章或业务专用章。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5、具有履行合同所必需的设备和专业技术能力的承诺：供应商须提供具有履行合同所必需的设备和专业技术能力的承诺；</w:t>
      </w:r>
    </w:p>
    <w:p>
      <w:pPr>
        <w:pStyle w:val="null3"/>
      </w:pPr>
      <w:r>
        <w:rPr>
          <w:rFonts w:ascii="仿宋_GB2312" w:hAnsi="仿宋_GB2312" w:cs="仿宋_GB2312" w:eastAsia="仿宋_GB2312"/>
        </w:rPr>
        <w:t>6、前三年内在经营活动中没有重大违法记录：出具参加本次政府采购活动前三年内在经营活动中没有重大违法记录的书面声明；</w:t>
      </w:r>
    </w:p>
    <w:p>
      <w:pPr>
        <w:pStyle w:val="null3"/>
      </w:pPr>
      <w:r>
        <w:rPr>
          <w:rFonts w:ascii="仿宋_GB2312" w:hAnsi="仿宋_GB2312" w:cs="仿宋_GB2312" w:eastAsia="仿宋_GB2312"/>
        </w:rPr>
        <w:t>7、供应商资质：供应商须具备测绘乙级及以上资质；</w:t>
      </w:r>
    </w:p>
    <w:p>
      <w:pPr>
        <w:pStyle w:val="null3"/>
      </w:pPr>
      <w:r>
        <w:rPr>
          <w:rFonts w:ascii="仿宋_GB2312" w:hAnsi="仿宋_GB2312" w:cs="仿宋_GB2312" w:eastAsia="仿宋_GB2312"/>
        </w:rPr>
        <w:t>8、项目负责人：拟派项目负责人须具有测绘类中级及以上职称或注册测绘师资格证书；</w:t>
      </w:r>
    </w:p>
    <w:p>
      <w:pPr>
        <w:pStyle w:val="null3"/>
      </w:pPr>
      <w:r>
        <w:rPr>
          <w:rFonts w:ascii="仿宋_GB2312" w:hAnsi="仿宋_GB2312" w:cs="仿宋_GB2312" w:eastAsia="仿宋_GB2312"/>
        </w:rPr>
        <w:t>9、法定代表人授权委托书：法定代表人参加磋商的提供法定代表人身份证明及身份证，委托代理人参加磋商的提供法定代表人授权委托书及法定代表人、委托代理人身份证；自然人参加磋商的只需提供身份证；备注：分支机构由分支机构负责人授权即可；并提供被授权人在本单位缴纳的社保记录（近3个月内）；</w:t>
      </w:r>
    </w:p>
    <w:p>
      <w:pPr>
        <w:pStyle w:val="null3"/>
      </w:pPr>
      <w:r>
        <w:rPr>
          <w:rFonts w:ascii="仿宋_GB2312" w:hAnsi="仿宋_GB2312" w:cs="仿宋_GB2312" w:eastAsia="仿宋_GB2312"/>
        </w:rPr>
        <w:t>10、本项目不接受联合体磋商：本项目不接受联合体磋商（提供书面声明）。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西安市自然资源和规划局新城分局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西安市新城区金康路29</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李拓</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15002906339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陕西嘉唐建设项目管理有限公司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西安市未央区凤城五路与明光路十字天朗经开中心10楼11002室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张荷、段冬梅、贾婵、曾小旦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029-89351397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西安市新城区政府采购管理股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029-87438480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采购包1：1,285,100.00元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国家发展和改革委员会办公厅颁发的《关于招标代理服务收费有关问题的通知》（发改办价格[2003]857号）的有关规定计取计取。服务费交纳信息： 银行户名：陕西嘉唐建设项目管理有限公司 开户银行：西安银行股份有限公司含光门支行 账 号：112011580000141313 联系人：王工 联系电话：029-89351397 邮箱：shanxijiatang@163.com</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西安市自然资源和规划局新城分局</w:t>
      </w:r>
      <w:r>
        <w:rPr>
          <w:rFonts w:ascii="仿宋_GB2312" w:hAnsi="仿宋_GB2312" w:cs="仿宋_GB2312" w:eastAsia="仿宋_GB2312"/>
        </w:rPr>
        <w:t>和</w:t>
      </w:r>
      <w:r>
        <w:rPr>
          <w:rFonts w:ascii="仿宋_GB2312" w:hAnsi="仿宋_GB2312" w:cs="仿宋_GB2312" w:eastAsia="仿宋_GB2312"/>
        </w:rPr>
        <w:t>陕西嘉唐建设项目管理有限公司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西安市自然资源和规划局新城分局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陕西嘉唐建设项目管理有限公司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西安市自然资源和规划局新城分局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陕西嘉唐建设项目管理有限公司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联系人：张荷、段冬梅、贾婵、曾小旦</w:t>
      </w:r>
    </w:p>
    <w:p>
      <w:pPr>
        <w:pStyle w:val="null3"/>
      </w:pPr>
      <w:r>
        <w:rPr>
          <w:rFonts w:ascii="仿宋_GB2312" w:hAnsi="仿宋_GB2312" w:cs="仿宋_GB2312" w:eastAsia="仿宋_GB2312"/>
        </w:rPr>
        <w:t>联系电话：029-89351397</w:t>
      </w:r>
    </w:p>
    <w:p>
      <w:pPr>
        <w:pStyle w:val="null3"/>
      </w:pPr>
      <w:r>
        <w:rPr>
          <w:rFonts w:ascii="仿宋_GB2312" w:hAnsi="仿宋_GB2312" w:cs="仿宋_GB2312" w:eastAsia="仿宋_GB2312"/>
        </w:rPr>
        <w:t>地址：西安市未央区凤城五路与明光路十字天朗经开中心10楼11002室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中共中央国务院关于建立国土空间规划体系并监督实施的若干意见》关于“建立健全国土空间规划动态监测评估预警和实施监管机制”的要求，对现行国务院审批总体规划城市(其他城市、建制镇)开展城市国土空间监测。新城区城市国土空间监测工作以以 2024年度国土变更调查成果为底图，在2024年城市国土空间监测成果基础上，依据2025年6月底之前的高分辨率遥感影像和最新的相关专题资料，结合实地调查等工作，在全区组织开展城市国土空间监测工作，掌握城市建设总量、用地结构、基础设施和服务功能等情况，支撑城市建设用地细化、国土空间规划编制及实施监督、国土空间规划城市体检评估、盘活存量土地、用途管制等国土空间治理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1,285,100.00</w:t>
      </w:r>
    </w:p>
    <w:p>
      <w:pPr>
        <w:pStyle w:val="null3"/>
      </w:pPr>
      <w:r>
        <w:rPr>
          <w:rFonts w:ascii="仿宋_GB2312" w:hAnsi="仿宋_GB2312" w:cs="仿宋_GB2312" w:eastAsia="仿宋_GB2312"/>
        </w:rPr>
        <w:t>采购包最高限价（元）: 1,285,100.00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新城区2025年城市国土空间监测项目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1,285,100.00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标的名称：新城区2025年城市国土空间监测项目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一、服务内容</w:t>
            </w:r>
          </w:p>
          <w:p>
            <w:pPr>
              <w:pStyle w:val="null3"/>
            </w:pPr>
            <w:r>
              <w:rPr>
                <w:rFonts w:ascii="仿宋_GB2312" w:hAnsi="仿宋_GB2312" w:cs="仿宋_GB2312" w:eastAsia="仿宋_GB2312"/>
              </w:rPr>
              <w:t>（一）工作区域</w:t>
            </w:r>
          </w:p>
          <w:p>
            <w:pPr>
              <w:pStyle w:val="null3"/>
            </w:pPr>
            <w:r>
              <w:rPr>
                <w:rFonts w:ascii="仿宋_GB2312" w:hAnsi="仿宋_GB2312" w:cs="仿宋_GB2312" w:eastAsia="仿宋_GB2312"/>
              </w:rPr>
              <w:t>西安市新城区全区域。</w:t>
            </w:r>
          </w:p>
          <w:p>
            <w:pPr>
              <w:pStyle w:val="null3"/>
            </w:pPr>
            <w:r>
              <w:rPr>
                <w:rFonts w:ascii="仿宋_GB2312" w:hAnsi="仿宋_GB2312" w:cs="仿宋_GB2312" w:eastAsia="仿宋_GB2312"/>
              </w:rPr>
              <w:t>（二）工作背景</w:t>
            </w:r>
          </w:p>
          <w:p>
            <w:pPr>
              <w:pStyle w:val="null3"/>
            </w:pPr>
            <w:r>
              <w:rPr>
                <w:rFonts w:ascii="仿宋_GB2312" w:hAnsi="仿宋_GB2312" w:cs="仿宋_GB2312" w:eastAsia="仿宋_GB2312"/>
              </w:rPr>
              <w:t>按照《中共中央国务院关于建立国土空间规划体系并监督实施的若干意见》关于</w:t>
            </w:r>
            <w:r>
              <w:rPr>
                <w:rFonts w:ascii="仿宋_GB2312" w:hAnsi="仿宋_GB2312" w:cs="仿宋_GB2312" w:eastAsia="仿宋_GB2312"/>
              </w:rPr>
              <w:t>“建立健全国土空间规划动态监测评估预警和实施监管机制”的要求，对现行国务院审批总体规划城市(其他城市、建制镇)开展城市国土空间监测。</w:t>
            </w:r>
          </w:p>
          <w:p>
            <w:pPr>
              <w:pStyle w:val="null3"/>
            </w:pPr>
            <w:r>
              <w:rPr>
                <w:rFonts w:ascii="仿宋_GB2312" w:hAnsi="仿宋_GB2312" w:cs="仿宋_GB2312" w:eastAsia="仿宋_GB2312"/>
              </w:rPr>
              <w:t>新城区城市国土空间监测工作以</w:t>
            </w:r>
            <w:r>
              <w:rPr>
                <w:rFonts w:ascii="仿宋_GB2312" w:hAnsi="仿宋_GB2312" w:cs="仿宋_GB2312" w:eastAsia="仿宋_GB2312"/>
              </w:rPr>
              <w:t>2024年度国土变更调查成果为底图，在2024年城市国</w:t>
            </w:r>
            <w:r>
              <w:rPr>
                <w:rFonts w:ascii="仿宋_GB2312" w:hAnsi="仿宋_GB2312" w:cs="仿宋_GB2312" w:eastAsia="仿宋_GB2312"/>
              </w:rPr>
              <w:t>土</w:t>
            </w:r>
            <w:r>
              <w:rPr>
                <w:rFonts w:ascii="仿宋_GB2312" w:hAnsi="仿宋_GB2312" w:cs="仿宋_GB2312" w:eastAsia="仿宋_GB2312"/>
              </w:rPr>
              <w:t>空间监测成果基础上，依据</w:t>
            </w:r>
            <w:r>
              <w:rPr>
                <w:rFonts w:ascii="仿宋_GB2312" w:hAnsi="仿宋_GB2312" w:cs="仿宋_GB2312" w:eastAsia="仿宋_GB2312"/>
              </w:rPr>
              <w:t>2025年6月底之前的高分辨率遥感影像和最新的相关专题资料，结合实地调查等工作，在全区组织开展城市国土空间监测工作，掌握城市建设总量、用地结构、基础设施和服务功能等情况，支撑城市建设用地细化、国土空间规划编制及实施监督、国土空间规划城市体检评估、盘活存量土地、用途管制等国土空间治理工作</w:t>
            </w:r>
            <w:r>
              <w:rPr>
                <w:rFonts w:ascii="仿宋_GB2312" w:hAnsi="仿宋_GB2312" w:cs="仿宋_GB2312" w:eastAsia="仿宋_GB2312"/>
              </w:rPr>
              <w:t>。</w:t>
            </w:r>
          </w:p>
          <w:p>
            <w:pPr>
              <w:pStyle w:val="null3"/>
            </w:pPr>
            <w:r>
              <w:rPr>
                <w:rFonts w:ascii="仿宋_GB2312" w:hAnsi="仿宋_GB2312" w:cs="仿宋_GB2312" w:eastAsia="仿宋_GB2312"/>
              </w:rPr>
              <w:t>（三）工作范围</w:t>
            </w:r>
          </w:p>
          <w:p>
            <w:pPr>
              <w:pStyle w:val="null3"/>
            </w:pPr>
            <w:r>
              <w:rPr>
                <w:rFonts w:ascii="仿宋_GB2312" w:hAnsi="仿宋_GB2312" w:cs="仿宋_GB2312" w:eastAsia="仿宋_GB2312"/>
              </w:rPr>
              <w:t>监测范围根据需要分为全域范围和城区监测范围两类。全域范围以城市行政区域为监测范围。城区监测范围指部反馈的</w:t>
            </w:r>
            <w:r>
              <w:rPr>
                <w:rFonts w:ascii="仿宋_GB2312" w:hAnsi="仿宋_GB2312" w:cs="仿宋_GB2312" w:eastAsia="仿宋_GB2312"/>
              </w:rPr>
              <w:t>“城区范围”和2024年度国土变更调查确定的城市(201，不含县级市和县)范围的并集。</w:t>
            </w:r>
          </w:p>
          <w:p>
            <w:pPr>
              <w:pStyle w:val="null3"/>
            </w:pPr>
            <w:r>
              <w:rPr>
                <w:rFonts w:ascii="仿宋_GB2312" w:hAnsi="仿宋_GB2312" w:cs="仿宋_GB2312" w:eastAsia="仿宋_GB2312"/>
              </w:rPr>
              <w:t>依据《国土空间规划城市体检评估规程》进行</w:t>
            </w:r>
            <w:r>
              <w:rPr>
                <w:rFonts w:ascii="仿宋_GB2312" w:hAnsi="仿宋_GB2312" w:cs="仿宋_GB2312" w:eastAsia="仿宋_GB2312"/>
              </w:rPr>
              <w:t>“城区”相关统计分析工作时，仍按照“城区范围”执行</w:t>
            </w:r>
            <w:r>
              <w:rPr>
                <w:rFonts w:ascii="仿宋_GB2312" w:hAnsi="仿宋_GB2312" w:cs="仿宋_GB2312" w:eastAsia="仿宋_GB2312"/>
              </w:rPr>
              <w:t>。</w:t>
            </w:r>
            <w:r>
              <w:rPr>
                <w:rFonts w:ascii="仿宋_GB2312" w:hAnsi="仿宋_GB2312" w:cs="仿宋_GB2312" w:eastAsia="仿宋_GB2312"/>
              </w:rPr>
              <w:t>全域范围采集的内容包括</w:t>
            </w:r>
            <w:r>
              <w:rPr>
                <w:rFonts w:ascii="仿宋_GB2312" w:hAnsi="仿宋_GB2312" w:cs="仿宋_GB2312" w:eastAsia="仿宋_GB2312"/>
              </w:rPr>
              <w:t>:高等院校(含军事院校)、中等职业学校、特殊教育学校、专门学校(工读学校)</w:t>
            </w:r>
            <w:r>
              <w:rPr>
                <w:rFonts w:ascii="仿宋_GB2312" w:hAnsi="仿宋_GB2312" w:cs="仿宋_GB2312" w:eastAsia="仿宋_GB2312"/>
              </w:rPr>
              <w:t>、</w:t>
            </w:r>
            <w:r>
              <w:rPr>
                <w:rFonts w:ascii="仿宋_GB2312" w:hAnsi="仿宋_GB2312" w:cs="仿宋_GB2312" w:eastAsia="仿宋_GB2312"/>
              </w:rPr>
              <w:t>自来水厂、污水处理厂、供热厂</w:t>
            </w:r>
            <w:r>
              <w:rPr>
                <w:rFonts w:ascii="仿宋_GB2312" w:hAnsi="仿宋_GB2312" w:cs="仿宋_GB2312" w:eastAsia="仿宋_GB2312"/>
              </w:rPr>
              <w:t>、</w:t>
            </w:r>
            <w:r>
              <w:rPr>
                <w:rFonts w:ascii="仿宋_GB2312" w:hAnsi="仿宋_GB2312" w:cs="仿宋_GB2312" w:eastAsia="仿宋_GB2312"/>
              </w:rPr>
              <w:t>殡葬设施</w:t>
            </w:r>
            <w:r>
              <w:rPr>
                <w:rFonts w:ascii="仿宋_GB2312" w:hAnsi="仿宋_GB2312" w:cs="仿宋_GB2312" w:eastAsia="仿宋_GB2312"/>
              </w:rPr>
              <w:t>、</w:t>
            </w:r>
            <w:r>
              <w:rPr>
                <w:rFonts w:ascii="仿宋_GB2312" w:hAnsi="仿宋_GB2312" w:cs="仿宋_GB2312" w:eastAsia="仿宋_GB2312"/>
              </w:rPr>
              <w:t>轨道交通站点</w:t>
            </w:r>
            <w:r>
              <w:rPr>
                <w:rFonts w:ascii="仿宋_GB2312" w:hAnsi="仿宋_GB2312" w:cs="仿宋_GB2312" w:eastAsia="仿宋_GB2312"/>
              </w:rPr>
              <w:t>(地铁站)</w:t>
            </w:r>
            <w:r>
              <w:rPr>
                <w:rFonts w:ascii="仿宋_GB2312" w:hAnsi="仿宋_GB2312" w:cs="仿宋_GB2312" w:eastAsia="仿宋_GB2312"/>
              </w:rPr>
              <w:t>、</w:t>
            </w:r>
            <w:r>
              <w:rPr>
                <w:rFonts w:ascii="仿宋_GB2312" w:hAnsi="仿宋_GB2312" w:cs="仿宋_GB2312" w:eastAsia="仿宋_GB2312"/>
              </w:rPr>
              <w:t>河湖</w:t>
            </w:r>
            <w:r>
              <w:rPr>
                <w:rFonts w:ascii="仿宋_GB2312" w:hAnsi="仿宋_GB2312" w:cs="仿宋_GB2312" w:eastAsia="仿宋_GB2312"/>
              </w:rPr>
              <w:t>(含大型水库)岸线、河渠结构线，铁路(含高速铁路)、公路(含高速公路)城市道路、乡村道路中心线，高速公路出入口</w:t>
            </w:r>
            <w:r>
              <w:rPr>
                <w:rFonts w:ascii="仿宋_GB2312" w:hAnsi="仿宋_GB2312" w:cs="仿宋_GB2312" w:eastAsia="仿宋_GB2312"/>
              </w:rPr>
              <w:t>等</w:t>
            </w:r>
            <w:r>
              <w:rPr>
                <w:rFonts w:ascii="仿宋_GB2312" w:hAnsi="仿宋_GB2312" w:cs="仿宋_GB2312" w:eastAsia="仿宋_GB2312"/>
              </w:rPr>
              <w:t>。</w:t>
            </w:r>
          </w:p>
          <w:p>
            <w:pPr>
              <w:pStyle w:val="null3"/>
            </w:pPr>
            <w:r>
              <w:rPr>
                <w:rFonts w:ascii="仿宋_GB2312" w:hAnsi="仿宋_GB2312" w:cs="仿宋_GB2312" w:eastAsia="仿宋_GB2312"/>
              </w:rPr>
              <w:t>（四）工作内容</w:t>
            </w:r>
          </w:p>
          <w:p>
            <w:pPr>
              <w:pStyle w:val="null3"/>
            </w:pPr>
            <w:r>
              <w:rPr>
                <w:rFonts w:ascii="仿宋_GB2312" w:hAnsi="仿宋_GB2312" w:cs="仿宋_GB2312" w:eastAsia="仿宋_GB2312"/>
              </w:rPr>
              <w:t>1.基础资料接收</w:t>
            </w:r>
          </w:p>
          <w:p>
            <w:pPr>
              <w:pStyle w:val="null3"/>
            </w:pPr>
            <w:r>
              <w:rPr>
                <w:rFonts w:ascii="仿宋_GB2312" w:hAnsi="仿宋_GB2312" w:cs="仿宋_GB2312" w:eastAsia="仿宋_GB2312"/>
              </w:rPr>
              <w:t>接收市局下发的</w:t>
            </w:r>
            <w:r>
              <w:rPr>
                <w:rFonts w:ascii="仿宋_GB2312" w:hAnsi="仿宋_GB2312" w:cs="仿宋_GB2312" w:eastAsia="仿宋_GB2312"/>
              </w:rPr>
              <w:t>“城市国土空间监测”基础资料，包括2024年度国土变更调查“一上”成果、2024年度国土变更调查最终成果、部确认的“城区范围”、部省下发的时相为2025年、1米或者更高分辨率的卫星遥感影像数据，2024年城市国土空间监测成果数据等其他相关资料。</w:t>
            </w:r>
          </w:p>
          <w:p>
            <w:pPr>
              <w:pStyle w:val="null3"/>
            </w:pPr>
            <w:r>
              <w:rPr>
                <w:rFonts w:ascii="仿宋_GB2312" w:hAnsi="仿宋_GB2312" w:cs="仿宋_GB2312" w:eastAsia="仿宋_GB2312"/>
              </w:rPr>
              <w:t>2.资料收集与整理</w:t>
            </w:r>
          </w:p>
          <w:p>
            <w:pPr>
              <w:pStyle w:val="null3"/>
            </w:pPr>
            <w:r>
              <w:rPr>
                <w:rFonts w:ascii="仿宋_GB2312" w:hAnsi="仿宋_GB2312" w:cs="仿宋_GB2312" w:eastAsia="仿宋_GB2312"/>
              </w:rPr>
              <w:t>在市级下发相关资料基础上，要充分利用地籍调查和不动产登记、城市大比例尺基础测绘、数字城市、智慧城市等工作成果，补充收集涉及教育、公安、民政、环保、住建、交通、水利、商务、文旅、卫健、应急、市场监管、体育、统计等行业资料，现势性为</w:t>
            </w:r>
            <w:r>
              <w:rPr>
                <w:rFonts w:ascii="仿宋_GB2312" w:hAnsi="仿宋_GB2312" w:cs="仿宋_GB2312" w:eastAsia="仿宋_GB2312"/>
              </w:rPr>
              <w:t>2024年1月1日之后的专题资料、POI数据，如项目竣工验收资料、国土空间规划一张图、各类公共配套设施现状资料等，为确定各类监测对象空间位置、占地范围和属性做参考和指引。</w:t>
            </w:r>
          </w:p>
          <w:p>
            <w:pPr>
              <w:pStyle w:val="null3"/>
            </w:pPr>
            <w:r>
              <w:rPr>
                <w:rFonts w:ascii="仿宋_GB2312" w:hAnsi="仿宋_GB2312" w:cs="仿宋_GB2312" w:eastAsia="仿宋_GB2312"/>
              </w:rPr>
              <w:t>3.监测内容采集</w:t>
            </w:r>
          </w:p>
          <w:p>
            <w:pPr>
              <w:pStyle w:val="null3"/>
            </w:pPr>
            <w:r>
              <w:rPr>
                <w:rFonts w:ascii="仿宋_GB2312" w:hAnsi="仿宋_GB2312" w:cs="仿宋_GB2312" w:eastAsia="仿宋_GB2312"/>
              </w:rPr>
              <w:t>以</w:t>
            </w:r>
            <w:r>
              <w:rPr>
                <w:rFonts w:ascii="仿宋_GB2312" w:hAnsi="仿宋_GB2312" w:cs="仿宋_GB2312" w:eastAsia="仿宋_GB2312"/>
              </w:rPr>
              <w:t>2024年度国土变更调查成果为底图，以收集的资料为指引，套合最新遥感影像，利用多种技术手段，结合实地调查，确定相关监测内容的位置、占地范围和相关属性等。具体要求如下：</w:t>
            </w:r>
          </w:p>
          <w:p>
            <w:pPr>
              <w:pStyle w:val="null3"/>
            </w:pPr>
            <w:r>
              <w:rPr>
                <w:rFonts w:ascii="仿宋_GB2312" w:hAnsi="仿宋_GB2312" w:cs="仿宋_GB2312" w:eastAsia="仿宋_GB2312"/>
              </w:rPr>
              <w:t>一是对于有独立用地的监测要素，监测实地现状与</w:t>
            </w:r>
            <w:r>
              <w:rPr>
                <w:rFonts w:ascii="仿宋_GB2312" w:hAnsi="仿宋_GB2312" w:cs="仿宋_GB2312" w:eastAsia="仿宋_GB2312"/>
              </w:rPr>
              <w:t>2024年度国土变更调查成果地类二级类一致的，在变更调查成果底图上进行细化采集，矢量化相关位置和范围，并标注相关属性；监测实地现状与2024年度国土变更调查成果地类二级类不一致的，在单独图层上进行采集，矢量化相关位置和范围，并标注相关属性，同时，按照国土变更调查外业举证相关要求进行举证。可采用实地外业举证、影像举证或提交附件佐证材料的举证方式；实地照片、影像、佐证材料要准确反映监测要素的名称、范围、用途等信息。佐证材料包括但不限于不动产登记、地籍、地形、规划设计图纸和数据等权威资料。以下几种情况，要素对应的二级类与国土变更调查成果地类二级类不一致，但可视为特例、无需进行外业举证，包括：（1）要素类型为“对外交通场站”（CC为100503），且TYPE取值为“火车站”，对应的国土变更调查成果地类为“铁路用地”（DLBM为1001）；（2）要素类型为“医院”（CC为08H221）或军事院校、中等职业学校（08H212）、中小学（08H213）、幼托机构（08H214），对应的国土变更调查成果地类为“特殊用地”（DLBM为09）；（3）要素类型为“高速公路服务区”（CC为100301），对应的国土变更调查成果地类为“交通服务场站用地”（DLBM为1005）；（4）作为公园内部附属设施的体育场馆。（5）2024年已举证过，监测时实地没有新变化的情况，不再重复举证。</w:t>
            </w:r>
          </w:p>
          <w:p>
            <w:pPr>
              <w:pStyle w:val="null3"/>
            </w:pPr>
            <w:r>
              <w:rPr>
                <w:rFonts w:ascii="仿宋_GB2312" w:hAnsi="仿宋_GB2312" w:cs="仿宋_GB2312" w:eastAsia="仿宋_GB2312"/>
              </w:rPr>
              <w:t>二是对于没有独立用地的监测要素，以单独图层表示其矢量位置，并标注相关属性。</w:t>
            </w:r>
          </w:p>
          <w:p>
            <w:pPr>
              <w:pStyle w:val="null3"/>
            </w:pPr>
            <w:r>
              <w:rPr>
                <w:rFonts w:ascii="仿宋_GB2312" w:hAnsi="仿宋_GB2312" w:cs="仿宋_GB2312" w:eastAsia="仿宋_GB2312"/>
              </w:rPr>
              <w:t>三是对于相关部门权威资料可以表明相关属性的，可以在无明显逻辑矛盾的情况下直接使用；对于无权威资料或相关资料不能表明相关属性的，要结合外业实地调查确定相关属性。</w:t>
            </w:r>
          </w:p>
          <w:p>
            <w:pPr>
              <w:pStyle w:val="null3"/>
            </w:pPr>
            <w:r>
              <w:rPr>
                <w:rFonts w:ascii="仿宋_GB2312" w:hAnsi="仿宋_GB2312" w:cs="仿宋_GB2312" w:eastAsia="仿宋_GB2312"/>
              </w:rPr>
              <w:t>四是对于原有监测要素改变为其他要素，或者监测要素的范围缩小且连片面积达到采集指标的，对其范围或位置进行标注，以单独图层表示。</w:t>
            </w:r>
          </w:p>
          <w:p>
            <w:pPr>
              <w:pStyle w:val="null3"/>
            </w:pPr>
            <w:r>
              <w:rPr>
                <w:rFonts w:ascii="仿宋_GB2312" w:hAnsi="仿宋_GB2312" w:cs="仿宋_GB2312" w:eastAsia="仿宋_GB2312"/>
              </w:rPr>
              <w:t>五是水域网络、交通网络只更新河湖（含大型水库）岸线、河渠结构线，铁路（含高速铁路）、公路（含高速公路）、城市道路、乡村道路、匝道中心线，高速公路出入口。</w:t>
            </w:r>
          </w:p>
          <w:p>
            <w:pPr>
              <w:pStyle w:val="null3"/>
            </w:pPr>
            <w:r>
              <w:rPr>
                <w:rFonts w:ascii="仿宋_GB2312" w:hAnsi="仿宋_GB2312" w:cs="仿宋_GB2312" w:eastAsia="仿宋_GB2312"/>
              </w:rPr>
              <w:t>六</w:t>
            </w:r>
            <w:r>
              <w:rPr>
                <w:rFonts w:ascii="仿宋_GB2312" w:hAnsi="仿宋_GB2312" w:cs="仿宋_GB2312" w:eastAsia="仿宋_GB2312"/>
              </w:rPr>
              <w:t>是各区县根据市级工作安排，适时开展城市地下空间监测。</w:t>
            </w:r>
          </w:p>
          <w:p>
            <w:pPr>
              <w:pStyle w:val="null3"/>
            </w:pPr>
            <w:r>
              <w:rPr>
                <w:rFonts w:ascii="仿宋_GB2312" w:hAnsi="仿宋_GB2312" w:cs="仿宋_GB2312" w:eastAsia="仿宋_GB2312"/>
              </w:rPr>
              <w:t>4.外业调查</w:t>
            </w:r>
          </w:p>
          <w:p>
            <w:pPr>
              <w:pStyle w:val="null3"/>
            </w:pPr>
            <w:r>
              <w:rPr>
                <w:rFonts w:ascii="仿宋_GB2312" w:hAnsi="仿宋_GB2312" w:cs="仿宋_GB2312" w:eastAsia="仿宋_GB2312"/>
              </w:rPr>
              <w:t>对监测实地现状与</w:t>
            </w:r>
            <w:r>
              <w:rPr>
                <w:rFonts w:ascii="仿宋_GB2312" w:hAnsi="仿宋_GB2312" w:cs="仿宋_GB2312" w:eastAsia="仿宋_GB2312"/>
              </w:rPr>
              <w:t>2024年度国土变更调查成果地类二级类不一致的有独立用地的监测要素，按照国土变更调查外业举证相关要求进行举证。</w:t>
            </w:r>
          </w:p>
          <w:p>
            <w:pPr>
              <w:pStyle w:val="null3"/>
            </w:pPr>
            <w:r>
              <w:rPr>
                <w:rFonts w:ascii="仿宋_GB2312" w:hAnsi="仿宋_GB2312" w:cs="仿宋_GB2312" w:eastAsia="仿宋_GB2312"/>
              </w:rPr>
              <w:t>对于无权威资料或资料不能表明相关属性的，要结合外业实地调查确定相关属性。</w:t>
            </w:r>
          </w:p>
          <w:p>
            <w:pPr>
              <w:pStyle w:val="null3"/>
            </w:pPr>
            <w:r>
              <w:rPr>
                <w:rFonts w:ascii="仿宋_GB2312" w:hAnsi="仿宋_GB2312" w:cs="仿宋_GB2312" w:eastAsia="仿宋_GB2312"/>
              </w:rPr>
              <w:t>外业举证需注意以下几点：</w:t>
            </w:r>
          </w:p>
          <w:p>
            <w:pPr>
              <w:pStyle w:val="null3"/>
            </w:pPr>
            <w:r>
              <w:rPr>
                <w:rFonts w:ascii="仿宋_GB2312" w:hAnsi="仿宋_GB2312" w:cs="仿宋_GB2312" w:eastAsia="仿宋_GB2312"/>
              </w:rPr>
              <w:t>（</w:t>
            </w:r>
            <w:r>
              <w:rPr>
                <w:rFonts w:ascii="仿宋_GB2312" w:hAnsi="仿宋_GB2312" w:cs="仿宋_GB2312" w:eastAsia="仿宋_GB2312"/>
              </w:rPr>
              <w:t>1）举证照片数量不少于三张，分别包括远景、近景和局部特征；照片需包含拍摄时间、拍摄点经度、拍摄点纬度、照片方位角等相关信息。</w:t>
            </w:r>
          </w:p>
          <w:p>
            <w:pPr>
              <w:pStyle w:val="null3"/>
            </w:pPr>
            <w:r>
              <w:rPr>
                <w:rFonts w:ascii="仿宋_GB2312" w:hAnsi="仿宋_GB2312" w:cs="仿宋_GB2312" w:eastAsia="仿宋_GB2312"/>
              </w:rPr>
              <w:t>（</w:t>
            </w:r>
            <w:r>
              <w:rPr>
                <w:rFonts w:ascii="仿宋_GB2312" w:hAnsi="仿宋_GB2312" w:cs="仿宋_GB2312" w:eastAsia="仿宋_GB2312"/>
              </w:rPr>
              <w:t>2）举证照片的命名按以下规则生成：照片标识符=图层名称+“_”+要素唯一标识码+“_”+顺序码+“.jpg”，其中，图层名称为照片拍摄对象所存储的数据层名称，要素唯一标识码为拍摄对象对应图斑的FEATID</w:t>
            </w:r>
            <w:r>
              <w:rPr>
                <w:rFonts w:ascii="仿宋_GB2312" w:hAnsi="仿宋_GB2312" w:cs="仿宋_GB2312" w:eastAsia="仿宋_GB2312"/>
              </w:rPr>
              <w:t>；</w:t>
            </w:r>
            <w:r>
              <w:rPr>
                <w:rFonts w:ascii="仿宋_GB2312" w:hAnsi="仿宋_GB2312" w:cs="仿宋_GB2312" w:eastAsia="仿宋_GB2312"/>
              </w:rPr>
              <w:t>顺序码可确保照片标识符的唯一性，取值范围采用阿拉伯数字，从</w:t>
            </w:r>
            <w:r>
              <w:rPr>
                <w:rFonts w:ascii="仿宋_GB2312" w:hAnsi="仿宋_GB2312" w:cs="仿宋_GB2312" w:eastAsia="仿宋_GB2312"/>
              </w:rPr>
              <w:t>0开始顺次编号，在1位数字码不够用时，采用大写英文字母A～F，仍不够用时，再使用2位阿拉伯数字顺次编码。</w:t>
            </w:r>
          </w:p>
          <w:p>
            <w:pPr>
              <w:pStyle w:val="null3"/>
            </w:pPr>
            <w:r>
              <w:rPr>
                <w:rFonts w:ascii="仿宋_GB2312" w:hAnsi="仿宋_GB2312" w:cs="仿宋_GB2312" w:eastAsia="仿宋_GB2312"/>
              </w:rPr>
              <w:t>（</w:t>
            </w:r>
            <w:r>
              <w:rPr>
                <w:rFonts w:ascii="仿宋_GB2312" w:hAnsi="仿宋_GB2312" w:cs="仿宋_GB2312" w:eastAsia="仿宋_GB2312"/>
              </w:rPr>
              <w:t>3）举证照片拍摄时要拍到监测要素的挂牌名称作为要素名称来源，拍摄的简称不能作为要素名称依据；</w:t>
            </w:r>
          </w:p>
          <w:p>
            <w:pPr>
              <w:pStyle w:val="null3"/>
            </w:pPr>
            <w:r>
              <w:rPr>
                <w:rFonts w:ascii="仿宋_GB2312" w:hAnsi="仿宋_GB2312" w:cs="仿宋_GB2312" w:eastAsia="仿宋_GB2312"/>
              </w:rPr>
              <w:t>（</w:t>
            </w:r>
            <w:r>
              <w:rPr>
                <w:rFonts w:ascii="仿宋_GB2312" w:hAnsi="仿宋_GB2312" w:cs="仿宋_GB2312" w:eastAsia="仿宋_GB2312"/>
              </w:rPr>
              <w:t>4）按照技术方案要求，做到应举尽举，技术方案规定无需举证的除外；</w:t>
            </w:r>
          </w:p>
          <w:p>
            <w:pPr>
              <w:pStyle w:val="null3"/>
            </w:pPr>
            <w:r>
              <w:rPr>
                <w:rFonts w:ascii="仿宋_GB2312" w:hAnsi="仿宋_GB2312" w:cs="仿宋_GB2312" w:eastAsia="仿宋_GB2312"/>
              </w:rPr>
              <w:t>（</w:t>
            </w:r>
            <w:r>
              <w:rPr>
                <w:rFonts w:ascii="仿宋_GB2312" w:hAnsi="仿宋_GB2312" w:cs="仿宋_GB2312" w:eastAsia="仿宋_GB2312"/>
              </w:rPr>
              <w:t>5）外业举证时，需记录外业核实举证轨迹，形成矢量文件。</w:t>
            </w:r>
          </w:p>
          <w:p>
            <w:pPr>
              <w:pStyle w:val="null3"/>
            </w:pPr>
            <w:r>
              <w:rPr>
                <w:rFonts w:ascii="仿宋_GB2312" w:hAnsi="仿宋_GB2312" w:cs="仿宋_GB2312" w:eastAsia="仿宋_GB2312"/>
              </w:rPr>
              <w:t>5.数据接边</w:t>
            </w:r>
          </w:p>
          <w:p>
            <w:pPr>
              <w:pStyle w:val="null3"/>
            </w:pPr>
            <w:r>
              <w:rPr>
                <w:rFonts w:ascii="仿宋_GB2312" w:hAnsi="仿宋_GB2312" w:cs="仿宋_GB2312" w:eastAsia="仿宋_GB2312"/>
              </w:rPr>
              <w:t>对相邻监测单元的监测成果进行接边处理，包括图形和属性接边，接边之后应保证图形边界光滑、连续，避免出现硬折、尖角；图形相接的同一实体，应进行属性接边，确保属性信息的一致性、合理性。</w:t>
            </w:r>
          </w:p>
          <w:p>
            <w:pPr>
              <w:pStyle w:val="null3"/>
            </w:pPr>
            <w:r>
              <w:rPr>
                <w:rFonts w:ascii="仿宋_GB2312" w:hAnsi="仿宋_GB2312" w:cs="仿宋_GB2312" w:eastAsia="仿宋_GB2312"/>
              </w:rPr>
              <w:t>6.数据库建设</w:t>
            </w:r>
          </w:p>
          <w:p>
            <w:pPr>
              <w:pStyle w:val="null3"/>
            </w:pPr>
            <w:r>
              <w:rPr>
                <w:rFonts w:ascii="仿宋_GB2312" w:hAnsi="仿宋_GB2312" w:cs="仿宋_GB2312" w:eastAsia="仿宋_GB2312"/>
              </w:rPr>
              <w:t>监测数据成果应按部有关要求整理和组织，并完成数据成果汇交。</w:t>
            </w:r>
          </w:p>
          <w:p>
            <w:pPr>
              <w:pStyle w:val="null3"/>
            </w:pPr>
            <w:r>
              <w:rPr>
                <w:rFonts w:ascii="仿宋_GB2312" w:hAnsi="仿宋_GB2312" w:cs="仿宋_GB2312" w:eastAsia="仿宋_GB2312"/>
              </w:rPr>
              <w:t>7.成果检查</w:t>
            </w:r>
          </w:p>
          <w:p>
            <w:pPr>
              <w:pStyle w:val="null3"/>
            </w:pPr>
            <w:r>
              <w:rPr>
                <w:rFonts w:ascii="仿宋_GB2312" w:hAnsi="仿宋_GB2312" w:cs="仿宋_GB2312" w:eastAsia="仿宋_GB2312"/>
              </w:rPr>
              <w:t>对本辖区监测成果进行</w:t>
            </w:r>
            <w:r>
              <w:rPr>
                <w:rFonts w:ascii="仿宋_GB2312" w:hAnsi="仿宋_GB2312" w:cs="仿宋_GB2312" w:eastAsia="仿宋_GB2312"/>
              </w:rPr>
              <w:t>100%全面自检，检查内容包括成果完整性、规范性、数学基础正确性、拓扑一致性、逻辑一致性等。检查形式分为“两级检查”，检查内容应涵盖全部作业过程及环节，所有生产工序及其成果需100%检查。在一级检查合格的基础上，监测作业单位内相对独立的质量控制部门对生产成果进行二级检查，检查内容涵盖全部作业过程及环节，对生产成果进行内业全面检查，外业抽查，并按照要求进行单位成果质量判定和批成果质量评定。检查结果应达到细化采集对象及变化层的变化对象错漏率不超过2%，补充采集对象错漏率不超过5%的要求。自检符合差错率要求的区县形成检查记录和检查报告会同县级成果提交市级进行核查。</w:t>
            </w:r>
          </w:p>
          <w:p>
            <w:pPr>
              <w:pStyle w:val="null3"/>
            </w:pPr>
            <w:r>
              <w:rPr>
                <w:rFonts w:ascii="仿宋_GB2312" w:hAnsi="仿宋_GB2312" w:cs="仿宋_GB2312" w:eastAsia="仿宋_GB2312"/>
              </w:rPr>
              <w:t>8.监测成果分析</w:t>
            </w:r>
          </w:p>
          <w:p>
            <w:pPr>
              <w:pStyle w:val="null3"/>
            </w:pPr>
            <w:r>
              <w:rPr>
                <w:rFonts w:ascii="仿宋_GB2312" w:hAnsi="仿宋_GB2312" w:cs="仿宋_GB2312" w:eastAsia="仿宋_GB2312"/>
              </w:rPr>
              <w:t>以城市国土空间监测成果数据库为基础，形成报表、报告等统计汇总成果。开展监测成果分析及应用，分析城市在国土开发利用、民生保障等方面问题，为下一步国土空间规划的布局优化提供更好的方向和指导，为政府领导的决策和部署提供更加准确、详实的基础依据。满足年度国土变更调查、日常变更、耕地保护、国土空间规划编制及实施监督、城市体检评估、盘活存量土地、用途管制、开发利用、生态保护修复、督察执法、林草湿保护等自然资源管理和生态文明建设需要。</w:t>
            </w:r>
          </w:p>
          <w:p>
            <w:pPr>
              <w:pStyle w:val="null3"/>
            </w:pPr>
            <w:r>
              <w:rPr>
                <w:rFonts w:ascii="仿宋_GB2312" w:hAnsi="仿宋_GB2312" w:cs="仿宋_GB2312" w:eastAsia="仿宋_GB2312"/>
              </w:rPr>
              <w:t>（五）主要成果</w:t>
            </w:r>
          </w:p>
          <w:p>
            <w:pPr>
              <w:pStyle w:val="null3"/>
            </w:pPr>
            <w:r>
              <w:rPr>
                <w:rFonts w:ascii="仿宋_GB2312" w:hAnsi="仿宋_GB2312" w:cs="仿宋_GB2312" w:eastAsia="仿宋_GB2312"/>
              </w:rPr>
              <w:t>1.影像成果。</w:t>
            </w:r>
          </w:p>
          <w:p>
            <w:pPr>
              <w:pStyle w:val="null3"/>
            </w:pPr>
            <w:r>
              <w:rPr>
                <w:rFonts w:ascii="仿宋_GB2312" w:hAnsi="仿宋_GB2312" w:cs="仿宋_GB2312" w:eastAsia="仿宋_GB2312"/>
              </w:rPr>
              <w:t>包括下发影像及市、区</w:t>
            </w:r>
            <w:r>
              <w:rPr>
                <w:rFonts w:ascii="仿宋_GB2312" w:hAnsi="仿宋_GB2312" w:cs="仿宋_GB2312" w:eastAsia="仿宋_GB2312"/>
              </w:rPr>
              <w:t>(县)补充收集的最新遥感影像。</w:t>
            </w:r>
          </w:p>
          <w:p>
            <w:pPr>
              <w:pStyle w:val="null3"/>
            </w:pPr>
            <w:r>
              <w:rPr>
                <w:rFonts w:ascii="仿宋_GB2312" w:hAnsi="仿宋_GB2312" w:cs="仿宋_GB2312" w:eastAsia="仿宋_GB2312"/>
              </w:rPr>
              <w:t>2.数据库成果。</w:t>
            </w:r>
          </w:p>
          <w:p>
            <w:pPr>
              <w:pStyle w:val="null3"/>
            </w:pPr>
            <w:r>
              <w:rPr>
                <w:rFonts w:ascii="仿宋_GB2312" w:hAnsi="仿宋_GB2312" w:cs="仿宋_GB2312" w:eastAsia="仿宋_GB2312"/>
              </w:rPr>
              <w:t>按照统一要求，通过整合、采集、细化与更新形成的空间数据成果。城市国土空间监测数据库成果</w:t>
            </w:r>
            <w:r>
              <w:rPr>
                <w:rFonts w:ascii="仿宋_GB2312" w:hAnsi="仿宋_GB2312" w:cs="仿宋_GB2312" w:eastAsia="仿宋_GB2312"/>
              </w:rPr>
              <w:t>=“行政区代码”+“行政区划名称”+“_”+“CSJC”+监测年份+“.gdb”</w:t>
            </w:r>
          </w:p>
          <w:p>
            <w:pPr>
              <w:pStyle w:val="null3"/>
            </w:pPr>
            <w:r>
              <w:rPr>
                <w:rFonts w:ascii="仿宋_GB2312" w:hAnsi="仿宋_GB2312" w:cs="仿宋_GB2312" w:eastAsia="仿宋_GB2312"/>
              </w:rPr>
              <w:t>数据库包含</w:t>
            </w:r>
            <w:r>
              <w:rPr>
                <w:rFonts w:ascii="仿宋_GB2312" w:hAnsi="仿宋_GB2312" w:cs="仿宋_GB2312" w:eastAsia="仿宋_GB2312"/>
              </w:rPr>
              <w:t>3个数据集37个图层。</w:t>
            </w:r>
          </w:p>
          <w:p>
            <w:pPr>
              <w:pStyle w:val="null3"/>
            </w:pPr>
            <w:r>
              <w:rPr>
                <w:rFonts w:ascii="仿宋_GB2312" w:hAnsi="仿宋_GB2312" w:cs="仿宋_GB2312" w:eastAsia="仿宋_GB2312"/>
              </w:rPr>
              <w:t>3.举证照片。</w:t>
            </w:r>
          </w:p>
          <w:p>
            <w:pPr>
              <w:pStyle w:val="null3"/>
            </w:pPr>
            <w:r>
              <w:rPr>
                <w:rFonts w:ascii="仿宋_GB2312" w:hAnsi="仿宋_GB2312" w:cs="仿宋_GB2312" w:eastAsia="仿宋_GB2312"/>
              </w:rPr>
              <w:t>照片要求为</w:t>
            </w:r>
            <w:r>
              <w:rPr>
                <w:rFonts w:ascii="仿宋_GB2312" w:hAnsi="仿宋_GB2312" w:cs="仿宋_GB2312" w:eastAsia="仿宋_GB2312"/>
              </w:rPr>
              <w:t>.jpg格式，按要求存放于成果目录中</w:t>
            </w:r>
          </w:p>
          <w:p>
            <w:pPr>
              <w:pStyle w:val="null3"/>
            </w:pPr>
            <w:r>
              <w:rPr>
                <w:rFonts w:ascii="仿宋_GB2312" w:hAnsi="仿宋_GB2312" w:cs="仿宋_GB2312" w:eastAsia="仿宋_GB2312"/>
              </w:rPr>
              <w:t>4.文字成果。</w:t>
            </w:r>
          </w:p>
          <w:p>
            <w:pPr>
              <w:pStyle w:val="null3"/>
            </w:pPr>
            <w:r>
              <w:rPr>
                <w:rFonts w:ascii="仿宋_GB2312" w:hAnsi="仿宋_GB2312" w:cs="仿宋_GB2312" w:eastAsia="仿宋_GB2312"/>
              </w:rPr>
              <w:t>汇交的文档资料主要包括实施方案、项目总结，能够证明项目成果合格的质量检验报告等。各类文档以</w:t>
            </w:r>
            <w:r>
              <w:rPr>
                <w:rFonts w:ascii="仿宋_GB2312" w:hAnsi="仿宋_GB2312" w:cs="仿宋_GB2312" w:eastAsia="仿宋_GB2312"/>
              </w:rPr>
              <w:t>WORD或PDF格式(需要签字盖章的文档扫描件)汇交。</w:t>
            </w:r>
          </w:p>
          <w:p>
            <w:pPr>
              <w:pStyle w:val="null3"/>
            </w:pPr>
            <w:r>
              <w:rPr>
                <w:rFonts w:ascii="仿宋_GB2312" w:hAnsi="仿宋_GB2312" w:cs="仿宋_GB2312" w:eastAsia="仿宋_GB2312"/>
              </w:rPr>
              <w:t>二、技术要求</w:t>
            </w:r>
          </w:p>
          <w:p>
            <w:pPr>
              <w:pStyle w:val="null3"/>
            </w:pPr>
            <w:r>
              <w:rPr>
                <w:rFonts w:ascii="仿宋_GB2312" w:hAnsi="仿宋_GB2312" w:cs="仿宋_GB2312" w:eastAsia="仿宋_GB2312"/>
              </w:rPr>
              <w:t>服务成果应符合下列文件、规范和规程要求：</w:t>
            </w:r>
          </w:p>
          <w:p>
            <w:pPr>
              <w:pStyle w:val="null3"/>
            </w:pPr>
            <w:r>
              <w:rPr>
                <w:rFonts w:ascii="仿宋_GB2312" w:hAnsi="仿宋_GB2312" w:cs="仿宋_GB2312" w:eastAsia="仿宋_GB2312"/>
              </w:rPr>
              <w:t>1、《自然资源部办公厅关于开展2025年城市国土空间监测工作的通知》；</w:t>
            </w:r>
          </w:p>
          <w:p>
            <w:pPr>
              <w:pStyle w:val="null3"/>
            </w:pPr>
            <w:r>
              <w:rPr>
                <w:rFonts w:ascii="仿宋_GB2312" w:hAnsi="仿宋_GB2312" w:cs="仿宋_GB2312" w:eastAsia="仿宋_GB2312"/>
              </w:rPr>
              <w:t>2、自然资源部《2025年城市国土空间监测实施方案》；</w:t>
            </w:r>
          </w:p>
          <w:p>
            <w:pPr>
              <w:pStyle w:val="null3"/>
            </w:pPr>
            <w:r>
              <w:rPr>
                <w:rFonts w:ascii="仿宋_GB2312" w:hAnsi="仿宋_GB2312" w:cs="仿宋_GB2312" w:eastAsia="仿宋_GB2312"/>
              </w:rPr>
              <w:t>3、自然资源部《2025年城市国土空间监测技术方案》；</w:t>
            </w:r>
          </w:p>
          <w:p>
            <w:pPr>
              <w:pStyle w:val="null3"/>
            </w:pPr>
            <w:r>
              <w:rPr>
                <w:rFonts w:ascii="仿宋_GB2312" w:hAnsi="仿宋_GB2312" w:cs="仿宋_GB2312" w:eastAsia="仿宋_GB2312"/>
              </w:rPr>
              <w:t>4、《陕西省自然资源厅办公室关于做好2025年城市国土空间监测工作的通知》</w:t>
            </w:r>
          </w:p>
          <w:p>
            <w:pPr>
              <w:pStyle w:val="null3"/>
            </w:pPr>
            <w:r>
              <w:rPr>
                <w:rFonts w:ascii="仿宋_GB2312" w:hAnsi="仿宋_GB2312" w:cs="仿宋_GB2312" w:eastAsia="仿宋_GB2312"/>
              </w:rPr>
              <w:t>5、《西安市自然资源和规划局关于开展2025年城市国土空间监测工作的通知》</w:t>
            </w:r>
          </w:p>
          <w:p>
            <w:pPr>
              <w:pStyle w:val="null3"/>
            </w:pPr>
            <w:r>
              <w:rPr>
                <w:rFonts w:ascii="仿宋_GB2312" w:hAnsi="仿宋_GB2312" w:cs="仿宋_GB2312" w:eastAsia="仿宋_GB2312"/>
              </w:rPr>
              <w:t>6、GQJC 01-2020 地理国情监测数据技术规定</w:t>
            </w:r>
          </w:p>
          <w:p>
            <w:pPr>
              <w:pStyle w:val="null3"/>
            </w:pPr>
            <w:r>
              <w:rPr>
                <w:rFonts w:ascii="仿宋_GB2312" w:hAnsi="仿宋_GB2312" w:cs="仿宋_GB2312" w:eastAsia="仿宋_GB2312"/>
              </w:rPr>
              <w:t>7、CH/T 9029-2019 基础性地理国情监测内容与指标</w:t>
            </w:r>
          </w:p>
          <w:p>
            <w:pPr>
              <w:pStyle w:val="null3"/>
            </w:pPr>
            <w:r>
              <w:rPr>
                <w:rFonts w:ascii="仿宋_GB2312" w:hAnsi="仿宋_GB2312" w:cs="仿宋_GB2312" w:eastAsia="仿宋_GB2312"/>
              </w:rPr>
              <w:t>8、GB/T 917 公路路线标识规则和国道编号</w:t>
            </w:r>
          </w:p>
          <w:p>
            <w:pPr>
              <w:pStyle w:val="null3"/>
            </w:pPr>
            <w:r>
              <w:rPr>
                <w:rFonts w:ascii="仿宋_GB2312" w:hAnsi="仿宋_GB2312" w:cs="仿宋_GB2312" w:eastAsia="仿宋_GB2312"/>
              </w:rPr>
              <w:t>9、GB/T 18316-2008 数字测绘成果质量检查与验收</w:t>
            </w:r>
          </w:p>
          <w:p>
            <w:pPr>
              <w:pStyle w:val="null3"/>
            </w:pPr>
            <w:r>
              <w:rPr>
                <w:rFonts w:ascii="仿宋_GB2312" w:hAnsi="仿宋_GB2312" w:cs="仿宋_GB2312" w:eastAsia="仿宋_GB2312"/>
              </w:rPr>
              <w:t>10、GB/T 25344 中华人民共和国铁路线路名称代码</w:t>
            </w:r>
          </w:p>
          <w:p>
            <w:pPr>
              <w:pStyle w:val="null3"/>
            </w:pPr>
            <w:r>
              <w:rPr>
                <w:rFonts w:ascii="仿宋_GB2312" w:hAnsi="仿宋_GB2312" w:cs="仿宋_GB2312" w:eastAsia="仿宋_GB2312"/>
              </w:rPr>
              <w:t>11、GB 50090-2006 铁路线路设计规范</w:t>
            </w:r>
          </w:p>
          <w:p>
            <w:pPr>
              <w:pStyle w:val="null3"/>
            </w:pPr>
            <w:r>
              <w:rPr>
                <w:rFonts w:ascii="仿宋_GB2312" w:hAnsi="仿宋_GB2312" w:cs="仿宋_GB2312" w:eastAsia="仿宋_GB2312"/>
              </w:rPr>
              <w:t>12、GB50352-2019 民用建筑设计统一标准</w:t>
            </w:r>
          </w:p>
          <w:p>
            <w:pPr>
              <w:pStyle w:val="null3"/>
            </w:pPr>
            <w:r>
              <w:rPr>
                <w:rFonts w:ascii="仿宋_GB2312" w:hAnsi="仿宋_GB2312" w:cs="仿宋_GB2312" w:eastAsia="仿宋_GB2312"/>
              </w:rPr>
              <w:t>13、CH/T 9009.3-2010 基础地理信息数字成果1:5000、1:10000、1:25000、1:50000、1:100000数字正射影像图</w:t>
            </w:r>
          </w:p>
          <w:p>
            <w:pPr>
              <w:pStyle w:val="null3"/>
            </w:pPr>
            <w:r>
              <w:rPr>
                <w:rFonts w:ascii="仿宋_GB2312" w:hAnsi="仿宋_GB2312" w:cs="仿宋_GB2312" w:eastAsia="仿宋_GB2312"/>
              </w:rPr>
              <w:t>14、JTG B01 公路工程技术标准</w:t>
            </w:r>
          </w:p>
          <w:p>
            <w:pPr>
              <w:pStyle w:val="null3"/>
            </w:pPr>
            <w:r>
              <w:rPr>
                <w:rFonts w:ascii="仿宋_GB2312" w:hAnsi="仿宋_GB2312" w:cs="仿宋_GB2312" w:eastAsia="仿宋_GB2312"/>
              </w:rPr>
              <w:t>15、JT/T 132 公路数据库编目编码规则</w:t>
            </w:r>
          </w:p>
          <w:p>
            <w:pPr>
              <w:pStyle w:val="null3"/>
            </w:pPr>
            <w:r>
              <w:rPr>
                <w:rFonts w:ascii="仿宋_GB2312" w:hAnsi="仿宋_GB2312" w:cs="仿宋_GB2312" w:eastAsia="仿宋_GB2312"/>
              </w:rPr>
              <w:t>16、TD/T 1063-2021 国土空间规划城市体检评估规程</w:t>
            </w:r>
          </w:p>
          <w:p>
            <w:pPr>
              <w:pStyle w:val="null3"/>
            </w:pPr>
            <w:r>
              <w:rPr>
                <w:rFonts w:ascii="仿宋_GB2312" w:hAnsi="仿宋_GB2312" w:cs="仿宋_GB2312" w:eastAsia="仿宋_GB2312"/>
              </w:rPr>
              <w:t>17、TD/T 1064-2021城区范围确定规程</w:t>
            </w:r>
          </w:p>
          <w:p>
            <w:pPr>
              <w:pStyle w:val="null3"/>
            </w:pPr>
            <w:r>
              <w:rPr>
                <w:rFonts w:ascii="仿宋_GB2312" w:hAnsi="仿宋_GB2312" w:cs="仿宋_GB2312" w:eastAsia="仿宋_GB2312"/>
              </w:rPr>
              <w:t>18、GB/T 7408-2005 数据元和交换格式信息交换日期和时间表示法</w:t>
            </w:r>
          </w:p>
          <w:p>
            <w:pPr>
              <w:pStyle w:val="null3"/>
            </w:pPr>
            <w:r>
              <w:rPr>
                <w:rFonts w:ascii="仿宋_GB2312" w:hAnsi="仿宋_GB2312" w:cs="仿宋_GB2312" w:eastAsia="仿宋_GB2312"/>
              </w:rPr>
              <w:t>三、服务要求</w:t>
            </w:r>
          </w:p>
          <w:p>
            <w:pPr>
              <w:pStyle w:val="null3"/>
            </w:pPr>
            <w:r>
              <w:rPr>
                <w:rFonts w:ascii="仿宋_GB2312" w:hAnsi="仿宋_GB2312" w:cs="仿宋_GB2312" w:eastAsia="仿宋_GB2312"/>
              </w:rPr>
              <w:t>1.投入不少于10人的技术人员，</w:t>
            </w:r>
            <w:r>
              <w:rPr>
                <w:rFonts w:ascii="仿宋_GB2312" w:hAnsi="仿宋_GB2312" w:cs="仿宋_GB2312" w:eastAsia="仿宋_GB2312"/>
              </w:rPr>
              <w:t>技术</w:t>
            </w:r>
            <w:r>
              <w:rPr>
                <w:rFonts w:ascii="仿宋_GB2312" w:hAnsi="仿宋_GB2312" w:cs="仿宋_GB2312" w:eastAsia="仿宋_GB2312"/>
              </w:rPr>
              <w:t>人员需全面掌握</w:t>
            </w:r>
            <w:r>
              <w:rPr>
                <w:rFonts w:ascii="仿宋_GB2312" w:hAnsi="仿宋_GB2312" w:cs="仿宋_GB2312" w:eastAsia="仿宋_GB2312"/>
              </w:rPr>
              <w:t>调查</w:t>
            </w:r>
            <w:r>
              <w:rPr>
                <w:rFonts w:ascii="仿宋_GB2312" w:hAnsi="仿宋_GB2312" w:cs="仿宋_GB2312" w:eastAsia="仿宋_GB2312"/>
              </w:rPr>
              <w:t>规则及要求，其中外业人员掌握外业调查及举证具体要求，内业人员全面掌握</w:t>
            </w:r>
            <w:r>
              <w:rPr>
                <w:rFonts w:ascii="仿宋_GB2312" w:hAnsi="仿宋_GB2312" w:cs="仿宋_GB2312" w:eastAsia="仿宋_GB2312"/>
              </w:rPr>
              <w:t>数据更新</w:t>
            </w:r>
            <w:r>
              <w:rPr>
                <w:rFonts w:ascii="仿宋_GB2312" w:hAnsi="仿宋_GB2312" w:cs="仿宋_GB2312" w:eastAsia="仿宋_GB2312"/>
              </w:rPr>
              <w:t>规则及要求，熟练运用相关专业软件</w:t>
            </w:r>
            <w:r>
              <w:rPr>
                <w:rFonts w:ascii="仿宋_GB2312" w:hAnsi="仿宋_GB2312" w:cs="仿宋_GB2312" w:eastAsia="仿宋_GB2312"/>
              </w:rPr>
              <w:t>。</w:t>
            </w:r>
          </w:p>
          <w:p>
            <w:pPr>
              <w:pStyle w:val="null3"/>
            </w:pPr>
            <w:r>
              <w:rPr>
                <w:rFonts w:ascii="仿宋_GB2312" w:hAnsi="仿宋_GB2312" w:cs="仿宋_GB2312" w:eastAsia="仿宋_GB2312"/>
              </w:rPr>
              <w:t>2.城市国土空间监测成果满足国、省、市相关文件要求，确保通过</w:t>
            </w:r>
            <w:r>
              <w:rPr>
                <w:rFonts w:ascii="仿宋_GB2312" w:hAnsi="仿宋_GB2312" w:cs="仿宋_GB2312" w:eastAsia="仿宋_GB2312"/>
              </w:rPr>
              <w:t>市级、</w:t>
            </w:r>
            <w:r>
              <w:rPr>
                <w:rFonts w:ascii="仿宋_GB2312" w:hAnsi="仿宋_GB2312" w:cs="仿宋_GB2312" w:eastAsia="仿宋_GB2312"/>
              </w:rPr>
              <w:t>省级、部级核查。</w:t>
            </w:r>
          </w:p>
          <w:p>
            <w:pPr>
              <w:pStyle w:val="null3"/>
            </w:pPr>
            <w:r>
              <w:rPr>
                <w:rFonts w:ascii="仿宋_GB2312" w:hAnsi="仿宋_GB2312" w:cs="仿宋_GB2312" w:eastAsia="仿宋_GB2312"/>
              </w:rPr>
              <w:t>3</w:t>
            </w:r>
            <w:r>
              <w:rPr>
                <w:rFonts w:ascii="仿宋_GB2312" w:hAnsi="仿宋_GB2312" w:cs="仿宋_GB2312" w:eastAsia="仿宋_GB2312"/>
              </w:rPr>
              <w:t>.供应商在合同执行期间，需为采购方人员提供相关培训，确保其正确使用工作成果。</w:t>
            </w:r>
          </w:p>
          <w:p>
            <w:pPr>
              <w:pStyle w:val="null3"/>
            </w:pPr>
            <w:r>
              <w:rPr>
                <w:rFonts w:ascii="仿宋_GB2312" w:hAnsi="仿宋_GB2312" w:cs="仿宋_GB2312" w:eastAsia="仿宋_GB2312"/>
              </w:rPr>
              <w:t>四、成果交付</w:t>
            </w:r>
          </w:p>
          <w:p>
            <w:pPr>
              <w:pStyle w:val="null3"/>
            </w:pPr>
            <w:r>
              <w:rPr>
                <w:rFonts w:ascii="仿宋_GB2312" w:hAnsi="仿宋_GB2312" w:cs="仿宋_GB2312" w:eastAsia="仿宋_GB2312"/>
              </w:rPr>
              <w:t>1、数据库成果。按照统一要求，通过整合、采集、细化与更新形成的空间监测数据成果</w:t>
            </w:r>
          </w:p>
          <w:p>
            <w:pPr>
              <w:pStyle w:val="null3"/>
            </w:pPr>
            <w:r>
              <w:rPr>
                <w:rFonts w:ascii="仿宋_GB2312" w:hAnsi="仿宋_GB2312" w:cs="仿宋_GB2312" w:eastAsia="仿宋_GB2312"/>
              </w:rPr>
              <w:t>2</w:t>
            </w:r>
            <w:r>
              <w:rPr>
                <w:rFonts w:ascii="仿宋_GB2312" w:hAnsi="仿宋_GB2312" w:cs="仿宋_GB2312" w:eastAsia="仿宋_GB2312"/>
              </w:rPr>
              <w:t>、文字成果。结合其他有关数据，形成项目总结报告等。</w:t>
            </w:r>
          </w:p>
          <w:p>
            <w:pPr>
              <w:pStyle w:val="null3"/>
            </w:pPr>
            <w:r>
              <w:rPr>
                <w:rFonts w:ascii="仿宋_GB2312" w:hAnsi="仿宋_GB2312" w:cs="仿宋_GB2312" w:eastAsia="仿宋_GB2312"/>
              </w:rPr>
              <w:t>3</w:t>
            </w:r>
            <w:r>
              <w:rPr>
                <w:rFonts w:ascii="仿宋_GB2312" w:hAnsi="仿宋_GB2312" w:cs="仿宋_GB2312" w:eastAsia="仿宋_GB2312"/>
              </w:rPr>
              <w:t>、其他资料。外业举证材料等。</w:t>
            </w:r>
          </w:p>
          <w:p>
            <w:pPr>
              <w:pStyle w:val="null3"/>
            </w:pPr>
            <w:r>
              <w:rPr>
                <w:rFonts w:ascii="仿宋_GB2312" w:hAnsi="仿宋_GB2312" w:cs="仿宋_GB2312" w:eastAsia="仿宋_GB2312"/>
              </w:rPr>
              <w:t>五、服务期限</w:t>
            </w:r>
          </w:p>
          <w:p>
            <w:pPr>
              <w:pStyle w:val="null3"/>
            </w:pPr>
            <w:r>
              <w:rPr>
                <w:rFonts w:ascii="仿宋_GB2312" w:hAnsi="仿宋_GB2312" w:cs="仿宋_GB2312" w:eastAsia="仿宋_GB2312"/>
              </w:rPr>
              <w:t>自合同签订之日起至成果通过部省级核查</w:t>
            </w:r>
          </w:p>
          <w:p>
            <w:pPr>
              <w:pStyle w:val="null3"/>
            </w:pPr>
            <w:r>
              <w:rPr>
                <w:rFonts w:ascii="仿宋_GB2312" w:hAnsi="仿宋_GB2312" w:cs="仿宋_GB2312" w:eastAsia="仿宋_GB2312"/>
              </w:rPr>
              <w:t>六、服务标准</w:t>
            </w:r>
          </w:p>
          <w:p>
            <w:pPr>
              <w:pStyle w:val="null3"/>
              <w:jc w:val="both"/>
            </w:pPr>
            <w:r>
              <w:rPr>
                <w:rFonts w:ascii="仿宋_GB2312" w:hAnsi="仿宋_GB2312" w:cs="仿宋_GB2312" w:eastAsia="仿宋_GB2312"/>
                <w:sz w:val="21"/>
              </w:rPr>
              <w:t>符合采购人相关要求，成果</w:t>
            </w:r>
            <w:r>
              <w:rPr>
                <w:rFonts w:ascii="仿宋_GB2312" w:hAnsi="仿宋_GB2312" w:cs="仿宋_GB2312" w:eastAsia="仿宋_GB2312"/>
                <w:sz w:val="21"/>
              </w:rPr>
              <w:t>质量</w:t>
            </w:r>
            <w:r>
              <w:rPr>
                <w:rFonts w:ascii="仿宋_GB2312" w:hAnsi="仿宋_GB2312" w:cs="仿宋_GB2312" w:eastAsia="仿宋_GB2312"/>
                <w:sz w:val="21"/>
              </w:rPr>
              <w:t>通过</w:t>
            </w:r>
            <w:r>
              <w:rPr>
                <w:rFonts w:ascii="仿宋_GB2312" w:hAnsi="仿宋_GB2312" w:cs="仿宋_GB2312" w:eastAsia="仿宋_GB2312"/>
                <w:sz w:val="21"/>
              </w:rPr>
              <w:t>部、</w:t>
            </w:r>
            <w:r>
              <w:rPr>
                <w:rFonts w:ascii="仿宋_GB2312" w:hAnsi="仿宋_GB2312" w:cs="仿宋_GB2312" w:eastAsia="仿宋_GB2312"/>
                <w:sz w:val="21"/>
              </w:rPr>
              <w:t>省级核查。</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自合同签订之日起至成果通过部省级核查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验收标准：符合采购人相关要求，成果质量通过部、省级核查。 验收方法：由采购单位成立项目验收小组组织验收，验收内容包括合同规定的服务内容是否完整；服务质量是否满足要求；提供的服务成果是否齐全等。验收组通过听取项目汇报，并对合同要求形成的成果资料现场查阅，检查成果资料是否齐全、完整，并对项目填写验收单。</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所有成果经省市级核查通过后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所有成果经部级核查通过后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合同约定，供应商未全面履行合同义务或者发生违约，采购单位会同采购代理机构有权终止合同，依法向成交供应商进行经济索赔，并报请政府采购监督管理机关进行相应的行政处罚。采购单位违约的，应当赔偿给供应商造成的经济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具有独立承担民事责任能力的法人或其他组织，提供有效存续的营业执照或事业单位法人证书或非企业专业服务机构执业许可证或民办非企业单位登记证书或自然人的身份证明；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完整的财务报告（成立时间至提交响应文件截止时间不足一年的可提供成立后任意时段的资产负债表）或在开标日期前六个月内其开户银行出具的资信证明，以上两种形式的资料提供任何一种即可（分支机构如无法提供财务审计报告，须出具包含分支机构的财务数据的总公司财务审计报告）；事业单位零余额账户提供相应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提供已缴纳的2024年10月至今任意一个月的纳税证明或完税证明，纳税证明或完税证明上应有代收机 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已缴存的2024年10月至今任意一个月的社会保障资金缴存单据或社保机构开具的社会保险参保缴费情况证明，单据或证明上应有社保机构或代收机构的公章或业务专用章。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具有履行合同所必需的设备和专业技术能力的承诺</w:t>
            </w:r>
          </w:p>
        </w:tc>
        <w:tc>
          <w:tcPr>
            <w:tcW w:type="dxa" w:w="3322"/>
          </w:tcPr>
          <w:p>
            <w:pPr>
              <w:pStyle w:val="null3"/>
            </w:pPr>
            <w:r>
              <w:rPr>
                <w:rFonts w:ascii="仿宋_GB2312" w:hAnsi="仿宋_GB2312" w:cs="仿宋_GB2312" w:eastAsia="仿宋_GB2312"/>
              </w:rPr>
              <w:t>供应商须提供具有履行合同所必需的设备和专业技术能力的承诺；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前三年内在经营活动中没有重大违法记录</w:t>
            </w:r>
          </w:p>
        </w:tc>
        <w:tc>
          <w:tcPr>
            <w:tcW w:type="dxa" w:w="3322"/>
          </w:tcPr>
          <w:p>
            <w:pPr>
              <w:pStyle w:val="null3"/>
            </w:pPr>
            <w:r>
              <w:rPr>
                <w:rFonts w:ascii="仿宋_GB2312" w:hAnsi="仿宋_GB2312" w:cs="仿宋_GB2312" w:eastAsia="仿宋_GB2312"/>
              </w:rPr>
              <w:t>出具参加本次政府采购活动前三年内在经营活动中没有重大违法记录的书面声明；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供应商须具备测绘乙级及以上资质；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拟派项目负责人须具有测绘类中级及以上职称或注册测绘师资格证书；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提供法定代表人身份证明及身份证，委托代理人参加磋商的提供法定代表人授权委托书及法定代表人、委托代理人身份证；自然人参加磋商的只需提供身份证；备注：分支机构由分支机构负责人授权即可；并提供被授权人在本单位缴纳的社保记录（近3个月内）；</w:t>
            </w:r>
          </w:p>
        </w:tc>
        <w:tc>
          <w:tcPr>
            <w:tcW w:type="dxa" w:w="1661"/>
          </w:tcPr>
          <w:p>
            <w:pPr>
              <w:pStyle w:val="null3"/>
            </w:pPr>
            <w:r>
              <w:rPr>
                <w:rFonts w:ascii="仿宋_GB2312" w:hAnsi="仿宋_GB2312" w:cs="仿宋_GB2312" w:eastAsia="仿宋_GB2312"/>
              </w:rPr>
              <w:t>供应商应提交的相关资格证明材料 法定代表人授权委托书.docx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本项目不接受联合体磋商（提供书面声明）。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磋商响应文件封面、磋商响应函两处的项目名称</w:t>
            </w:r>
          </w:p>
        </w:tc>
        <w:tc>
          <w:tcPr>
            <w:tcW w:type="dxa" w:w="3322"/>
          </w:tcPr>
          <w:p>
            <w:pPr>
              <w:pStyle w:val="null3"/>
            </w:pPr>
            <w:r>
              <w:rPr>
                <w:rFonts w:ascii="仿宋_GB2312" w:hAnsi="仿宋_GB2312" w:cs="仿宋_GB2312" w:eastAsia="仿宋_GB2312"/>
              </w:rPr>
              <w:t>两处均无遗漏，且与磋商项目名称完全一致。</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供应商承诺书.docx 响应文件封面 残疾人福利性单位声明函 服务方案 标的清单 响应函 法定代表人授权委托书.docx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磋商响应文件的计量单位、语言、报价货币、磋商有效期</w:t>
            </w:r>
          </w:p>
        </w:tc>
        <w:tc>
          <w:tcPr>
            <w:tcW w:type="dxa" w:w="3322"/>
          </w:tcPr>
          <w:p>
            <w:pPr>
              <w:pStyle w:val="null3"/>
            </w:pPr>
            <w:r>
              <w:rPr>
                <w:rFonts w:ascii="仿宋_GB2312" w:hAnsi="仿宋_GB2312" w:cs="仿宋_GB2312" w:eastAsia="仿宋_GB2312"/>
              </w:rPr>
              <w:t>计量单位、语言、报价货币、磋商有效期均符合磋商文件的要求。</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供应商承诺书.docx 响应文件封面 残疾人福利性单位声明函 服务方案 标的清单 法定代表人授权委托书.docx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磋商响应文件组成</w:t>
            </w:r>
          </w:p>
        </w:tc>
        <w:tc>
          <w:tcPr>
            <w:tcW w:type="dxa" w:w="3322"/>
          </w:tcPr>
          <w:p>
            <w:pPr>
              <w:pStyle w:val="null3"/>
            </w:pPr>
            <w:r>
              <w:rPr>
                <w:rFonts w:ascii="仿宋_GB2312" w:hAnsi="仿宋_GB2312" w:cs="仿宋_GB2312" w:eastAsia="仿宋_GB2312"/>
              </w:rPr>
              <w:t>按照磋商文件格式编写，无缺漏项。</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供应商承诺书.docx 响应文件封面 残疾人福利性单位声明函 服务方案 标的清单 响应函 法定代表人授权委托书.docx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磋商内容的完整性</w:t>
            </w:r>
          </w:p>
        </w:tc>
        <w:tc>
          <w:tcPr>
            <w:tcW w:type="dxa" w:w="3322"/>
          </w:tcPr>
          <w:p>
            <w:pPr>
              <w:pStyle w:val="null3"/>
            </w:pPr>
            <w:r>
              <w:rPr>
                <w:rFonts w:ascii="仿宋_GB2312" w:hAnsi="仿宋_GB2312" w:cs="仿宋_GB2312" w:eastAsia="仿宋_GB2312"/>
              </w:rPr>
              <w:t>磋商响应内容未出现漏项或数量与要求不符。</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供应商承诺书.docx 响应文件封面 残疾人福利性单位声明函 服务方案 标的清单 法定代表人授权委托书.docx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符合磋商文件要求。 （1）磋商报价符合唯一性要求； （2）首次磋商报价表填写符合要求； （3）未超出采购预算或磋商文件规定的最高限价； （4）磋商报价是否低于成本价，涉嫌不正当竞争（如果磋商小组认为某磋商报价明显不合理或者低于成本，有可能影响服务质量或者不能诚信履约的，应当要求其在规定期限内提供书面文件予以解释说明，并提交相关证明材料）。</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完整响应磋商文件合同条款。</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供应商承诺书.docx 响应文件封面 残疾人福利性单位声明函 服务方案 标的清单 响应函 法定代表人授权委托书.docx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根据对本项目的理解，对本项目基础情况掌握情况内容完整详细合理，能充分考虑甲方需求，得15分； 服务内容详细，对于本项目的服务要求和实际情况符合，得12分； 服务内容略有不足，基本符合服务要求和实际情况，得9分； 服务内容属于通用类，部分符合实际情况，得5分； 方案内容不符合实际情况，得2分； 不满足项目要求或未提供得0分。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根据项目实际需求提供服务方案。服务细则，工作思路，工作任务等内容详细合理，能充分考虑甲方需求，得15分； 服务内容详细，对于本项目的服务要求和实际情况符合，得12分； 服务内容略有不足，基本符合服务要求和实际情况，得9分； 服务内容属于通用类，部分符合实际情况，得5分； 方案不符合实际情况，得2分； 不满足项目要求或未提供得0分。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突发性事件处理方案及重难点分析</w:t>
            </w:r>
          </w:p>
        </w:tc>
        <w:tc>
          <w:tcPr>
            <w:tcW w:type="dxa" w:w="2492"/>
          </w:tcPr>
          <w:p>
            <w:pPr>
              <w:pStyle w:val="null3"/>
            </w:pPr>
            <w:r>
              <w:rPr>
                <w:rFonts w:ascii="仿宋_GB2312" w:hAnsi="仿宋_GB2312" w:cs="仿宋_GB2312" w:eastAsia="仿宋_GB2312"/>
              </w:rPr>
              <w:t>根据本项目服务内容提出突发性事件处理方案及重难点分析内容详细合理，能充分考虑甲方需求，得15分； 方案内容详细，对于本项目的服务要求和实际情况符合，得12分； 方案内容略有不足，基本符合服务要求和实际情况，得9分； 方案内容属于通用类，部分符合实际情况，得5分； 方案内容不符合实际情况，得2分； 不满足项目要求或未提供得0分。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保密管理制度</w:t>
            </w:r>
          </w:p>
        </w:tc>
        <w:tc>
          <w:tcPr>
            <w:tcW w:type="dxa" w:w="2492"/>
          </w:tcPr>
          <w:p>
            <w:pPr>
              <w:pStyle w:val="null3"/>
            </w:pPr>
            <w:r>
              <w:rPr>
                <w:rFonts w:ascii="仿宋_GB2312" w:hAnsi="仿宋_GB2312" w:cs="仿宋_GB2312" w:eastAsia="仿宋_GB2312"/>
              </w:rPr>
              <w:t>根据本项目保密措施；廉洁就业措施。 对于本项目的要求和实际情况分析详细合理，得15分； 措施内容详细，对于本项目的要求和实际情况符合，得12分； 措施内容略有不足，基本符合服务要求和实际情况，得9分； 措施内容属于通用类，部分符合实际情况，得5分； 方案内容不符合实际情况，得2分； 不满足项目要求或未提供得0分。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项目组人员配备</w:t>
            </w:r>
          </w:p>
        </w:tc>
        <w:tc>
          <w:tcPr>
            <w:tcW w:type="dxa" w:w="2492"/>
          </w:tcPr>
          <w:p>
            <w:pPr>
              <w:pStyle w:val="null3"/>
            </w:pPr>
            <w:r>
              <w:rPr>
                <w:rFonts w:ascii="仿宋_GB2312" w:hAnsi="仿宋_GB2312" w:cs="仿宋_GB2312" w:eastAsia="仿宋_GB2312"/>
              </w:rPr>
              <w:t>拟派项目组人员（不包含项目负责人）测绘、规划、地理信息系统等相关专业技术人员不少于10人,其中高级及以上职称不少于2人,中级及以上职称不少于8人的得10分。若满足专业要求的高级及以上职称每少1人扣2分，中级及以上职称每少一人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成果保障措施</w:t>
            </w:r>
          </w:p>
        </w:tc>
        <w:tc>
          <w:tcPr>
            <w:tcW w:type="dxa" w:w="2492"/>
          </w:tcPr>
          <w:p>
            <w:pPr>
              <w:pStyle w:val="null3"/>
            </w:pPr>
            <w:r>
              <w:rPr>
                <w:rFonts w:ascii="仿宋_GB2312" w:hAnsi="仿宋_GB2312" w:cs="仿宋_GB2312" w:eastAsia="仿宋_GB2312"/>
              </w:rPr>
              <w:t>针对项目能够顺利实施提交成果保障措施，服务承诺 等内容详细，对于本项目的服务要求和实际情况符合，得12分； 服务内容略有不足，基本符合服务要求和实际情况，得9分； 服务内容属于通用类，部分符合实际情况，得5分； 方案内容不符合实际情况，得2分； 不满足项目要求或未提供得0分。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提供供应商2022年9月1日至今类似项目业绩； 评审标准：需提供业绩证明文件，以提供标明合同名称、签订双方名称、签订时间、主要服务内容、双方盖章页为准（复印件加盖公章），每提供一个业绩证明得2分，满分8分。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的有关规定：价格分采用低价优先法计算，即满足磋商文件要求且磋商单价最低的磋商报价为评标基准价，其价格分为满分。其他供应商的价格分统一按照下列公式计算： 1.经符合性审查合格的磋商文件，其报价为有效磋商报价。 2.磋商报价得分＝（评标基准价/磋商报价）×10%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详见附件：法定代表人授权委托书.docx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