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版本号：HJL-ZB-FW-00820251011001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西安市新城区教育系统工程项目专项审计服务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HJL-ZB-FW-008</w:t>
      </w:r>
      <w:r>
        <w:br/>
      </w:r>
      <w:r>
        <w:br/>
      </w:r>
      <w:r>
        <w:br/>
      </w:r>
    </w:p>
    <w:p>
      <w:pPr>
        <w:pStyle w:val="null3"/>
        <w:jc w:val="center"/>
        <w:outlineLvl w:val="2"/>
      </w:pPr>
      <w:r>
        <w:rPr>
          <w:rFonts w:ascii="仿宋_GB2312" w:hAnsi="仿宋_GB2312" w:cs="仿宋_GB2312" w:eastAsia="仿宋_GB2312"/>
          <w:sz w:val="28"/>
          <w:b/>
        </w:rPr>
        <w:t>西安市新城区校舍设备管理中心</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西安市新城区校舍设备管理中心</w:t>
      </w:r>
      <w:r>
        <w:rPr>
          <w:rFonts w:ascii="仿宋_GB2312" w:hAnsi="仿宋_GB2312" w:cs="仿宋_GB2312" w:eastAsia="仿宋_GB2312"/>
        </w:rPr>
        <w:t>委托，拟对</w:t>
      </w:r>
      <w:r>
        <w:rPr>
          <w:rFonts w:ascii="仿宋_GB2312" w:hAnsi="仿宋_GB2312" w:cs="仿宋_GB2312" w:eastAsia="仿宋_GB2312"/>
        </w:rPr>
        <w:t>西安市新城区教育系统工程项目专项审计服务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HJL-ZB-FW-008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西安市新城区教育系统工程项目专项审计服务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新城区68所学校的286个基建、维修、改造类项目建设程序合规性审查。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采购包1（西安市新城区教育系统工程项目专项审计服务）：属于专门面向中小企业采购。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 ：法定代表人授权书（法定代表人直接参加磋商，须提供法定代表人身份证明）；注：被授权人参与磋商时，须提供被授权人在磋商响应文件递交截止时间前三个月内任意一个月在本单位缴纳的社保证明；（新办企业及新录用人员除外，但需提供新办企业或新录用人员的相关证明材料）</w:t>
      </w:r>
    </w:p>
    <w:p>
      <w:pPr>
        <w:pStyle w:val="null3"/>
      </w:pPr>
      <w:r>
        <w:rPr>
          <w:rFonts w:ascii="仿宋_GB2312" w:hAnsi="仿宋_GB2312" w:cs="仿宋_GB2312" w:eastAsia="仿宋_GB2312"/>
        </w:rPr>
        <w:t>2、信用信息 ：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3、中小企业声明函 ：本项目专门面向中小企业采购，仅限符合《政府采购促进中小企业发展管理办法》的通知(财库〔2020〕46 号) 条件的中小企业参与，并提供中小企业声明函，残疾人福利企业、监狱企业视同小微企业；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西安市新城区校舍设备管理中心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顺城东路北段副164号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029-87439638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西安市碑林区南二环东段长安大街3号A座写字楼2907室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赵迎旭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029-65621719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定额收取人民币壹万元整。 成交供应商在领取成交通知书前，须向采购代理机构一次性支付采购代理服务费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西安市新城区校舍设备管理中心</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西安市新城区校舍设备管理中心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西安市新城区校舍设备管理中心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联系人：赵迎旭</w:t>
      </w:r>
    </w:p>
    <w:p>
      <w:pPr>
        <w:pStyle w:val="null3"/>
      </w:pPr>
      <w:r>
        <w:rPr>
          <w:rFonts w:ascii="仿宋_GB2312" w:hAnsi="仿宋_GB2312" w:cs="仿宋_GB2312" w:eastAsia="仿宋_GB2312"/>
        </w:rPr>
        <w:t>联系电话：029-65621719</w:t>
      </w:r>
    </w:p>
    <w:p>
      <w:pPr>
        <w:pStyle w:val="null3"/>
      </w:pPr>
      <w:r>
        <w:rPr>
          <w:rFonts w:ascii="仿宋_GB2312" w:hAnsi="仿宋_GB2312" w:cs="仿宋_GB2312" w:eastAsia="仿宋_GB2312"/>
        </w:rPr>
        <w:t>地址：西安市碑林区南二环东段长安大街3号A座写字楼2907室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新城区68所学校的286个基建、维修、改造类项目建设程序合规性审查。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西安市新城区教育系统工程项目专项审计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标的名称：西安市新城区教育系统工程项目专项审计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left"/>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ind w:firstLine="275"/>
              <w:jc w:val="left"/>
            </w:pPr>
            <w:r>
              <w:rPr>
                <w:rFonts w:ascii="仿宋_GB2312" w:hAnsi="仿宋_GB2312" w:cs="仿宋_GB2312" w:eastAsia="仿宋_GB2312"/>
                <w:sz w:val="21"/>
              </w:rPr>
              <w:t>本项目为</w:t>
            </w:r>
            <w:r>
              <w:rPr>
                <w:rFonts w:ascii="仿宋_GB2312" w:hAnsi="仿宋_GB2312" w:cs="仿宋_GB2312" w:eastAsia="仿宋_GB2312"/>
                <w:sz w:val="21"/>
              </w:rPr>
              <w:t>新城区</w:t>
            </w:r>
            <w:r>
              <w:rPr>
                <w:rFonts w:ascii="仿宋_GB2312" w:hAnsi="仿宋_GB2312" w:cs="仿宋_GB2312" w:eastAsia="仿宋_GB2312"/>
                <w:sz w:val="21"/>
              </w:rPr>
              <w:t>68所学校基建、维修、改造类项目</w:t>
            </w:r>
            <w:r>
              <w:rPr>
                <w:rFonts w:ascii="仿宋_GB2312" w:hAnsi="仿宋_GB2312" w:cs="仿宋_GB2312" w:eastAsia="仿宋_GB2312"/>
                <w:sz w:val="21"/>
              </w:rPr>
              <w:t>，拟对</w:t>
            </w:r>
            <w:r>
              <w:rPr>
                <w:rFonts w:ascii="仿宋_GB2312" w:hAnsi="仿宋_GB2312" w:cs="仿宋_GB2312" w:eastAsia="仿宋_GB2312"/>
                <w:sz w:val="21"/>
              </w:rPr>
              <w:t>68所学校的286个基建、维修、改造类项目建设程序合规性审查。</w:t>
            </w:r>
          </w:p>
          <w:p>
            <w:pPr>
              <w:pStyle w:val="null3"/>
              <w:ind w:firstLine="600"/>
              <w:jc w:val="left"/>
            </w:pPr>
            <w:r>
              <w:rPr>
                <w:rFonts w:ascii="仿宋_GB2312" w:hAnsi="仿宋_GB2312" w:cs="仿宋_GB2312" w:eastAsia="仿宋_GB2312"/>
                <w:sz w:val="21"/>
                <w:b/>
              </w:rPr>
              <w:t>二、</w:t>
            </w:r>
            <w:r>
              <w:rPr>
                <w:rFonts w:ascii="仿宋_GB2312" w:hAnsi="仿宋_GB2312" w:cs="仿宋_GB2312" w:eastAsia="仿宋_GB2312"/>
                <w:sz w:val="21"/>
                <w:b/>
              </w:rPr>
              <w:t>采购内容及标准</w:t>
            </w:r>
          </w:p>
          <w:p>
            <w:pPr>
              <w:pStyle w:val="null3"/>
              <w:ind w:firstLine="275"/>
              <w:jc w:val="left"/>
            </w:pPr>
            <w:r>
              <w:rPr>
                <w:rFonts w:ascii="仿宋_GB2312" w:hAnsi="仿宋_GB2312" w:cs="仿宋_GB2312" w:eastAsia="仿宋_GB2312"/>
                <w:sz w:val="21"/>
              </w:rPr>
              <w:t>对项目从立项、规划、用地、设计、招投标、施工到竣工验收等全过程的审批手续、行为及文件的合法性、完备性进行审查。</w:t>
            </w:r>
          </w:p>
          <w:p>
            <w:pPr>
              <w:pStyle w:val="null3"/>
              <w:ind w:firstLine="211"/>
              <w:jc w:val="left"/>
            </w:pPr>
            <w:r>
              <w:rPr>
                <w:rFonts w:ascii="仿宋_GB2312" w:hAnsi="仿宋_GB2312" w:cs="仿宋_GB2312" w:eastAsia="仿宋_GB2312"/>
                <w:sz w:val="21"/>
                <w:b/>
              </w:rPr>
              <w:t>（一）技术要求</w:t>
            </w:r>
            <w:r>
              <w:rPr>
                <w:rFonts w:ascii="仿宋_GB2312" w:hAnsi="仿宋_GB2312" w:cs="仿宋_GB2312" w:eastAsia="仿宋_GB2312"/>
                <w:sz w:val="21"/>
              </w:rPr>
              <w:t>：</w:t>
            </w:r>
          </w:p>
          <w:p>
            <w:pPr>
              <w:pStyle w:val="null3"/>
              <w:ind w:firstLine="275"/>
              <w:jc w:val="left"/>
            </w:pPr>
            <w:r>
              <w:rPr>
                <w:rFonts w:ascii="仿宋_GB2312" w:hAnsi="仿宋_GB2312" w:cs="仿宋_GB2312" w:eastAsia="仿宋_GB2312"/>
                <w:sz w:val="21"/>
              </w:rPr>
              <w:t>①资料审查：确保所有审批文件（如可研、初设、施工许可）齐全、有效、一致。</w:t>
            </w:r>
          </w:p>
          <w:p>
            <w:pPr>
              <w:pStyle w:val="null3"/>
              <w:ind w:firstLine="275"/>
              <w:jc w:val="left"/>
            </w:pPr>
            <w:r>
              <w:rPr>
                <w:rFonts w:ascii="仿宋_GB2312" w:hAnsi="仿宋_GB2312" w:cs="仿宋_GB2312" w:eastAsia="仿宋_GB2312"/>
                <w:sz w:val="21"/>
              </w:rPr>
              <w:t>②过程合规：审查勘察、设计、招投标、施工等关键环节是否严格遵循了技术标准、规范和法定程序。</w:t>
            </w:r>
          </w:p>
          <w:p>
            <w:pPr>
              <w:pStyle w:val="null3"/>
              <w:ind w:firstLine="275"/>
              <w:jc w:val="left"/>
            </w:pPr>
            <w:r>
              <w:rPr>
                <w:rFonts w:ascii="仿宋_GB2312" w:hAnsi="仿宋_GB2312" w:cs="仿宋_GB2312" w:eastAsia="仿宋_GB2312"/>
                <w:sz w:val="21"/>
              </w:rPr>
              <w:t>③结果验证：工程实体质量与安全是否符合设计和规范要求，并确保竣工资料完整、准确、可追溯。</w:t>
            </w:r>
          </w:p>
          <w:p>
            <w:pPr>
              <w:pStyle w:val="null3"/>
              <w:ind w:firstLine="211"/>
              <w:jc w:val="left"/>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）服务要求：</w:t>
            </w:r>
          </w:p>
          <w:p>
            <w:pPr>
              <w:pStyle w:val="null3"/>
              <w:ind w:firstLine="275"/>
              <w:jc w:val="left"/>
            </w:pPr>
            <w:r>
              <w:rPr>
                <w:rFonts w:ascii="仿宋_GB2312" w:hAnsi="仿宋_GB2312" w:cs="仿宋_GB2312" w:eastAsia="仿宋_GB2312"/>
                <w:sz w:val="21"/>
              </w:rPr>
              <w:t>团队需具备专业资质与经验且保持独立客观；需制定清晰方案，用资料审查等方法确保审核证据充分；要全覆盖项目各阶段并聚焦关键环节合规性；还需交付规范报告，提供整改建议。</w:t>
            </w:r>
          </w:p>
          <w:p>
            <w:pPr>
              <w:pStyle w:val="null3"/>
              <w:ind w:firstLine="211"/>
              <w:jc w:val="left"/>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）人员要求：</w:t>
            </w:r>
          </w:p>
          <w:p>
            <w:pPr>
              <w:pStyle w:val="null3"/>
              <w:ind w:firstLine="275"/>
              <w:jc w:val="left"/>
            </w:pPr>
            <w:r>
              <w:rPr>
                <w:rFonts w:ascii="仿宋_GB2312" w:hAnsi="仿宋_GB2312" w:cs="仿宋_GB2312" w:eastAsia="仿宋_GB2312"/>
                <w:sz w:val="21"/>
              </w:rPr>
              <w:t>需具备工程相关专业背景与执业资格，精通建设法规及审批流程；要保持独立客观、廉洁自律，具备良好沟通能力；需有丰富工程咨询或审计经验以解决实际问题，同时严格遵守保密规定，妥善保管项目信息。</w:t>
            </w:r>
          </w:p>
          <w:p>
            <w:pPr>
              <w:pStyle w:val="null3"/>
              <w:ind w:firstLine="275"/>
              <w:jc w:val="left"/>
            </w:pPr>
            <w:r>
              <w:rPr>
                <w:rFonts w:ascii="仿宋_GB2312" w:hAnsi="仿宋_GB2312" w:cs="仿宋_GB2312" w:eastAsia="仿宋_GB2312"/>
                <w:sz w:val="21"/>
                <w:b/>
              </w:rPr>
              <w:t>（四）成果交付要求：</w:t>
            </w:r>
          </w:p>
          <w:p>
            <w:pPr>
              <w:pStyle w:val="null3"/>
              <w:ind w:firstLine="275"/>
              <w:jc w:val="left"/>
            </w:pPr>
            <w:r>
              <w:rPr>
                <w:rFonts w:ascii="仿宋_GB2312" w:hAnsi="仿宋_GB2312" w:cs="仿宋_GB2312" w:eastAsia="仿宋_GB2312"/>
                <w:sz w:val="21"/>
              </w:rPr>
              <w:t>提交完整审查报告。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按照“3.2.2服务要求”自行配备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按照“3.2.2服务要求”自行配备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陕西省西安市新城区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审核报告初稿完成后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正式报告完成并交付采购人后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2、合同签订：成交供应商与采购人（西安市新城区校舍设备管理中心）签订总合同；与各使用单位（新城区68所学校）分别签订补充协议。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1、投标人应具有独立承担民事责任的能力的企业法人、事业法人、其他组织或自然人，出具合法有效的营业执照等相关证明文件，自然人参与的提供其身份证明； 2、提供2024年度经审计的财务报告（成立时间至提交磋商响应文件截止时间不足一年的可提供成立后任意时段的资产负债表），或磋商响应文件递交截止时间前6个月内银行出具的资信证明； 3、磋商响应文件递交截止时间前一年内已缴纳的至少一个月的纳税证明或完税证明，依法免税的单位应提供相关证明材料； 4、磋商响应文件递交截止时间前一年内已缴存的至少一个月的社会保障资金缴存单据或社保机构开具的社会保险参保缴费情况证明，依法不需要缴纳社会保障资金的单位应提供相关证明材料；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提供2024年度经审计的财务报告（成立时间至提交磋商响应文件截止时间不足一年的可提供成立后任意时段的资产负债表），或磋商响应文件递交截止时间前6个月内银行出具的资信证明。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在磋商响应文件递交截止时间前三个月内任意一个月在本单位缴纳的社保证明；（新办企业及新录用人员除外，但需提供新办企业或新录用人员的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条件的中小企业参与，并提供中小企业声明函，残疾人福利企业、监狱企业视同小微企业；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业绩一览表.docx 中小企业声明函 报价表 资格证明文件.docx 响应文件封面 分项报价表.docx 残疾人福利性单位声明函 服务方案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业绩一览表.docx 中小企业声明函 报价表 资格证明文件.docx 响应文件封面 分项报价表.docx 残疾人福利性单位声明函 服务方案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①服务总体计划和目标②技术实施方案③对项目的理解。 二、评审标准 1、完整性：方案须全面，对评审内容中的各项要求有详细描述及说明； 2、可实施性：切合本项目实际情况，实施步骤清晰、合理； 3、针对性：方案能够紧扣项目实际情况，内容科学合理。 三、赋分标准 ①-③项评审内容：每项内容每完全满足一项评审标准得1分，每项内容每有一处缺陷扣0.1分，其他或未提供得0分。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 ①项目关键点分析②项目具体实施措施。 二、评审标准 1、完整性：方案全面，梳理出项目关键点，并给出控制策略，对评审内容中的各项要求有详细描述及说明； 2、可实施性：切合本项目实际情况，实施步骤清晰、合理； 3、针对性：方案能够紧扣项目实际情况，内容科学合理。 二、赋分标准 ①-②项评审内容：每项内容每完全满足一项评审标准得2分，每项内容每有一处缺陷扣0.1分，其他或未提供得0分。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①-②项评审内容：每项内容每完全满足一项评审标准得1.5分，每项内容每有一处缺陷扣0.1分，其他或未提供得0分。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①-②项评审内容：每项内容每完全满足一项评审标准得1分，每项内容每有一处缺陷扣0.1分，其他或未提供得0分。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针对本项目提出的成果提交方案（要求形成整套成果资料，应包括数据库、文字、图件、表格成果等）。 二、评审标准 1、完整性：方案全面，梳理出项目关键点，对评审内容中的各项要求有详细描述及说明； 2、可实施性：切合本项目实际情况，实施步骤清晰、合理； 3、针对性：方案能够紧扣项目实际情况，内容科学合理。 二、赋分标准 每完全满足一项评审标准得2分，内容每有一处缺陷扣0.1分，其他或未提供得0分。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 每完全满足一项评审标准得2分，内容每有一处缺陷扣0.1分，其他或未提供得0分。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针对本项目实施范围内产生的资料，提供档案管理内容包含①合理的规划措施②保管措施和移交措施。 二、评审标准 1、完整性：内容必须全面，对评审内容中的各项要求有详细描述； 2、合理性：切合项目具体情况，提出责任明确、要求具体的方案； 3、针对性：内容能够紧扣项目实际情况，内容科学合理。 三、评审标准 ①-②项评审内容：每项内容每完全满足一项评审标准得1分，每项内容每有一处缺陷扣0.1分，其他或未提供得0分。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1.承诺：接受采购人对服务的考核、监督及管理，并对服务质量加以改进，确保服务工作的优质高效得2分，承诺一般，有缺陷得0.5分。其他或无承诺不得分。 2.承诺：若人员因事、病不能及时上岗时，请调其他服务人员补充，确保各项服务工作正常进行得2分，承诺一般，有缺陷得0.5分。其他或无承诺不得分。 3.承诺：供应商应当对涉及采购人的信息严格保密，未经采购人许可，不得将信息泄露给第三方。否则，采购人保留追究法律责任的权利得1分，承诺一般，有缺陷得0.5分。其他或无承诺不得分。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1、项目负责人具有具备一级造价工程师或相关专业高级技术职称计1分。 2、项目负责人具有5年及以上同类项目工作经验，得1分；每增加一年工作经验额外增加1分，最多增加2分，满分3分。 赋分依据：须提供加盖投标供应商公章的工作证明文件，不提供或缺漏项不得分。 备注：除上述赋分依据外，还须同时提供供应商为项目负责人缴纳的近六个月内任意一个月的社保缴纳证明材料，不提供本大项(4分)不得分。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①管理机构②岗位职责制度③专业技术人员投入。 二、评审标准 1、完整性 2、可实施性 3、针对性 三、赋分依据 ①-③项评审内容：每项内容每完全满足一项评审标准得1分，每项内容每有一处缺陷扣0.1分，其他或未提供得0分。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设备仪器配备</w:t>
            </w:r>
          </w:p>
        </w:tc>
        <w:tc>
          <w:tcPr>
            <w:tcW w:type="dxa" w:w="2492"/>
          </w:tcPr>
          <w:p>
            <w:pPr>
              <w:pStyle w:val="null3"/>
            </w:pPr>
            <w:r>
              <w:rPr>
                <w:rFonts w:ascii="仿宋_GB2312" w:hAnsi="仿宋_GB2312" w:cs="仿宋_GB2312" w:eastAsia="仿宋_GB2312"/>
              </w:rPr>
              <w:t>针对本项目提供相关设备。 配置齐全、契合本项目实际特点得8分； 配置简单、契合性一般得5分； 配置与项目实施不契合或不能完全满足本项目定量计算得2分； 设备仪器配置严重缺项、与项目实施不契合或未提供得0分。 赋分依据：需提供配置清单。</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投标供应商提供2022年10月1日至今（以合同签订日期为准）类似项目业绩（以合同复印件或扫描件加盖公章为准），每个有效业绩得2分，满分共计10分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