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版本号：GXZB2025-087Z20251016001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新城区2025年市政道路维护工程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GXZB2025-087Z</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新城区2025年市政道路维护工程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GXZB2025-087Z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新城区2025年市政道路维护工程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新城区2025年市政道路维护工程，具体详见竞争性磋商文件。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采购包1（新城区2025年市政道路维护工程）：属于专门面向中小企业采购。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1、项目负责人：拟派的项目负责人须为本单位注册的市政公用工程专业二级及以上注册建造师证书和安全生产考核合格证（建安 B 证），且无在建工程（提供承诺书）。</w:t>
      </w:r>
    </w:p>
    <w:p>
      <w:pPr>
        <w:pStyle w:val="null3"/>
      </w:pPr>
      <w:r>
        <w:rPr>
          <w:rFonts w:ascii="仿宋_GB2312" w:hAnsi="仿宋_GB2312" w:cs="仿宋_GB2312" w:eastAsia="仿宋_GB2312"/>
        </w:rPr>
        <w:t>2、资质证书：供应商须具有建设行政主管部门颁发的市政公用工程施工总承包二级及以上资质，且具备有效的安全生产许可证。</w:t>
      </w:r>
    </w:p>
    <w:p>
      <w:pPr>
        <w:pStyle w:val="null3"/>
      </w:pPr>
      <w:r>
        <w:rPr>
          <w:rFonts w:ascii="仿宋_GB2312" w:hAnsi="仿宋_GB2312" w:cs="仿宋_GB2312" w:eastAsia="仿宋_GB2312"/>
        </w:rPr>
        <w:t>3、法定代表人授权书：法定代表人授权书及被授权人身份证（法定代表人直接参加磋商的须提供其法定代表人身份证明，被授 权人参加磋商的须出具法定代表人授权书）；</w:t>
      </w:r>
    </w:p>
    <w:p>
      <w:pPr>
        <w:pStyle w:val="null3"/>
      </w:pPr>
      <w:r>
        <w:rPr>
          <w:rFonts w:ascii="仿宋_GB2312" w:hAnsi="仿宋_GB2312" w:cs="仿宋_GB2312" w:eastAsia="仿宋_GB2312"/>
        </w:rPr>
        <w:t>4、信息查询：供应商基本信息及项目负责人基本信息在”陕西省住房和城乡建设厅（http://js.shaanxi.gov.cn/）”可 查询。外省进陕施工企业须提供陕西省住房和城乡建设厅官网企业库外省进陕施工企业信息首页截图；</w:t>
      </w:r>
    </w:p>
    <w:p>
      <w:pPr>
        <w:pStyle w:val="null3"/>
      </w:pPr>
      <w:r>
        <w:rPr>
          <w:rFonts w:ascii="仿宋_GB2312" w:hAnsi="仿宋_GB2312" w:cs="仿宋_GB2312" w:eastAsia="仿宋_GB2312"/>
        </w:rPr>
        <w:t>5、中小企业声明函：本项目为专门面向中小企业采购项目，供应商应为中型企业或小型企业，监狱企业或残疾人福利性单位。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刘绍东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87312632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孙翠、高丹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采购包1：1,989,788.86元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参照《国家计委关于印发&lt;招标代理服务收费管理暂行办法&gt;的通知》（计价格[2002]1980号）和国家发改委办公厅颁发的《关于招标代理服务收费有关问题的通知》（发改办价格【2003】857号）的有关规定收取。由中标（成交）单位在领取中标（成交）通知书前一次性向采购代理机构支付。 缴纳账户： 名 称：陕西国信招标有限公司 开户行：西安银行股份有限公司咸宁中路支行 账 号：4120 1158 00000 61474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联系人：孙翠、高丹</w:t>
      </w:r>
    </w:p>
    <w:p>
      <w:pPr>
        <w:pStyle w:val="null3"/>
      </w:pPr>
      <w:r>
        <w:rPr>
          <w:rFonts w:ascii="仿宋_GB2312" w:hAnsi="仿宋_GB2312" w:cs="仿宋_GB2312" w:eastAsia="仿宋_GB2312"/>
        </w:rPr>
        <w:t>联系电话： 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1,989,788.86</w:t>
      </w:r>
    </w:p>
    <w:p>
      <w:pPr>
        <w:pStyle w:val="null3"/>
      </w:pPr>
      <w:r>
        <w:rPr>
          <w:rFonts w:ascii="仿宋_GB2312" w:hAnsi="仿宋_GB2312" w:cs="仿宋_GB2312" w:eastAsia="仿宋_GB2312"/>
        </w:rPr>
        <w:t>采购包最高限价（元）: 1,989,788.86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其他专业施工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1,989,788.86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标的名称：其他专业施工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工程内容</w:t>
            </w:r>
          </w:p>
          <w:p>
            <w:pPr>
              <w:pStyle w:val="null3"/>
              <w:ind w:firstLine="400"/>
              <w:jc w:val="left"/>
            </w:pPr>
            <w:r>
              <w:rPr>
                <w:rFonts w:ascii="仿宋_GB2312" w:hAnsi="仿宋_GB2312" w:cs="仿宋_GB2312" w:eastAsia="仿宋_GB2312"/>
                <w:sz w:val="20"/>
                <w:color w:val="000000"/>
              </w:rPr>
              <w:t>新城区</w:t>
            </w:r>
            <w:r>
              <w:rPr>
                <w:rFonts w:ascii="仿宋_GB2312" w:hAnsi="仿宋_GB2312" w:cs="仿宋_GB2312" w:eastAsia="仿宋_GB2312"/>
                <w:sz w:val="20"/>
                <w:color w:val="000000"/>
              </w:rPr>
              <w:t>202</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年市政道路维护的所有工作内容。</w:t>
            </w:r>
            <w:r>
              <w:rPr>
                <w:rFonts w:ascii="仿宋_GB2312" w:hAnsi="仿宋_GB2312" w:cs="仿宋_GB2312" w:eastAsia="仿宋_GB2312"/>
                <w:sz w:val="20"/>
                <w:color w:val="000000"/>
              </w:rPr>
              <w:t>具体工作内容详见工程量清单。</w:t>
            </w:r>
          </w:p>
          <w:p>
            <w:pPr>
              <w:pStyle w:val="null3"/>
              <w:jc w:val="left"/>
            </w:pPr>
            <w:r>
              <w:rPr>
                <w:rFonts w:ascii="仿宋_GB2312" w:hAnsi="仿宋_GB2312" w:cs="仿宋_GB2312" w:eastAsia="仿宋_GB2312"/>
                <w:sz w:val="20"/>
                <w:color w:val="000000"/>
              </w:rPr>
              <w:t>二、施工地点、计划工期、质量保修期、缺陷责任期</w:t>
            </w:r>
          </w:p>
          <w:p>
            <w:pPr>
              <w:pStyle w:val="null3"/>
              <w:ind w:firstLine="200"/>
              <w:jc w:val="left"/>
            </w:pPr>
            <w:r>
              <w:rPr>
                <w:rFonts w:ascii="仿宋_GB2312" w:hAnsi="仿宋_GB2312" w:cs="仿宋_GB2312" w:eastAsia="仿宋_GB2312"/>
                <w:sz w:val="20"/>
                <w:color w:val="000000"/>
              </w:rPr>
              <w:t>（一）工程地点：采购人指定地点。</w:t>
            </w:r>
          </w:p>
          <w:p>
            <w:pPr>
              <w:pStyle w:val="null3"/>
              <w:ind w:firstLine="200"/>
              <w:jc w:val="left"/>
            </w:pPr>
            <w:r>
              <w:rPr>
                <w:rFonts w:ascii="仿宋_GB2312" w:hAnsi="仿宋_GB2312" w:cs="仿宋_GB2312" w:eastAsia="仿宋_GB2312"/>
                <w:sz w:val="20"/>
                <w:color w:val="000000"/>
              </w:rPr>
              <w:t>（二）计划工期：</w:t>
            </w:r>
            <w:r>
              <w:rPr>
                <w:rFonts w:ascii="仿宋_GB2312" w:hAnsi="仿宋_GB2312" w:cs="仿宋_GB2312" w:eastAsia="仿宋_GB2312"/>
                <w:sz w:val="20"/>
                <w:color w:val="000000"/>
              </w:rPr>
              <w:t>自合同签订之日起</w:t>
            </w:r>
            <w:r>
              <w:rPr>
                <w:rFonts w:ascii="仿宋_GB2312" w:hAnsi="仿宋_GB2312" w:cs="仿宋_GB2312" w:eastAsia="仿宋_GB2312"/>
                <w:sz w:val="20"/>
                <w:color w:val="000000"/>
              </w:rPr>
              <w:t>180天内完工。</w:t>
            </w:r>
          </w:p>
          <w:p>
            <w:pPr>
              <w:pStyle w:val="null3"/>
              <w:ind w:firstLine="200"/>
              <w:jc w:val="left"/>
            </w:pPr>
            <w:r>
              <w:rPr>
                <w:rFonts w:ascii="仿宋_GB2312" w:hAnsi="仿宋_GB2312" w:cs="仿宋_GB2312" w:eastAsia="仿宋_GB2312"/>
                <w:sz w:val="20"/>
                <w:color w:val="000000"/>
              </w:rPr>
              <w:t>（三）质量保修期：</w:t>
            </w:r>
            <w:r>
              <w:rPr>
                <w:rFonts w:ascii="仿宋_GB2312" w:hAnsi="仿宋_GB2312" w:cs="仿宋_GB2312" w:eastAsia="仿宋_GB2312"/>
                <w:sz w:val="20"/>
                <w:color w:val="000000"/>
              </w:rPr>
              <w:t>2年。</w:t>
            </w:r>
          </w:p>
          <w:p>
            <w:pPr>
              <w:pStyle w:val="null3"/>
              <w:ind w:firstLine="2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四</w:t>
            </w:r>
            <w:r>
              <w:rPr>
                <w:rFonts w:ascii="仿宋_GB2312" w:hAnsi="仿宋_GB2312" w:cs="仿宋_GB2312" w:eastAsia="仿宋_GB2312"/>
                <w:sz w:val="20"/>
                <w:color w:val="000000"/>
              </w:rPr>
              <w:t>）</w:t>
            </w:r>
            <w:r>
              <w:rPr>
                <w:rFonts w:ascii="仿宋_GB2312" w:hAnsi="仿宋_GB2312" w:cs="仿宋_GB2312" w:eastAsia="仿宋_GB2312"/>
                <w:sz w:val="20"/>
                <w:color w:val="000000"/>
              </w:rPr>
              <w:t>缺陷责任期：</w:t>
            </w:r>
            <w:r>
              <w:rPr>
                <w:rFonts w:ascii="仿宋_GB2312" w:hAnsi="仿宋_GB2312" w:cs="仿宋_GB2312" w:eastAsia="仿宋_GB2312"/>
                <w:sz w:val="20"/>
                <w:color w:val="000000"/>
              </w:rPr>
              <w:t>24个月。</w:t>
            </w:r>
          </w:p>
          <w:p>
            <w:pPr>
              <w:pStyle w:val="null3"/>
              <w:spacing w:before="120"/>
            </w:pPr>
            <w:r>
              <w:rPr>
                <w:rFonts w:ascii="仿宋_GB2312" w:hAnsi="仿宋_GB2312" w:cs="仿宋_GB2312" w:eastAsia="仿宋_GB2312"/>
                <w:sz w:val="20"/>
                <w:color w:val="000000"/>
              </w:rPr>
              <w:t>三、编制依据</w:t>
            </w:r>
          </w:p>
          <w:p>
            <w:pPr>
              <w:pStyle w:val="null3"/>
              <w:spacing w:before="120"/>
              <w:ind w:firstLine="200"/>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《陕西省建设工程工程量清单计价规则》（</w:t>
            </w:r>
            <w:r>
              <w:rPr>
                <w:rFonts w:ascii="仿宋_GB2312" w:hAnsi="仿宋_GB2312" w:cs="仿宋_GB2312" w:eastAsia="仿宋_GB2312"/>
                <w:sz w:val="20"/>
                <w:color w:val="000000"/>
              </w:rPr>
              <w:t>2025）、《陕西省房屋建筑与装饰工程消耗量定额》（2025）、《陕西省市政设施维修养护定额》（2012）、《陕西省市政工程消耗量定额》（2025）及配套的《陕西省建设工程量清单计价费率》（2025）、《陕西市政工程价目表》(2025)及相关配套取费文件等。</w:t>
            </w:r>
          </w:p>
          <w:p>
            <w:pPr>
              <w:pStyle w:val="null3"/>
              <w:spacing w:before="120"/>
              <w:ind w:firstLine="200"/>
            </w:pPr>
            <w:r>
              <w:rPr>
                <w:rFonts w:ascii="仿宋_GB2312" w:hAnsi="仿宋_GB2312" w:cs="仿宋_GB2312" w:eastAsia="仿宋_GB2312"/>
                <w:sz w:val="20"/>
                <w:color w:val="000000"/>
              </w:rPr>
              <w:t>本次工程量清单编制软件采用广联达云计价平台</w:t>
            </w:r>
            <w:r>
              <w:rPr>
                <w:rFonts w:ascii="仿宋_GB2312" w:hAnsi="仿宋_GB2312" w:cs="仿宋_GB2312" w:eastAsia="仿宋_GB2312"/>
                <w:sz w:val="20"/>
                <w:color w:val="000000"/>
              </w:rPr>
              <w:t>GCCP7.5000.23.1版本。</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建筑业的划分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供应商须具备独立承担民事责任能力的法人、其他组织或自然人，提供营业执照或事业单位法人证书；自然人参与的提供其身份证明；②、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履行合同所 必需的设备和专业技术能力的承诺；</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资格证明文件.pdf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拟派的项目负责人须为本单位注册的市政公用工程专业二级及以上注册建造师证书和安全生产考核合格证（建安 B 证），且无在建工程（提供承诺书）。</w:t>
            </w:r>
          </w:p>
        </w:tc>
        <w:tc>
          <w:tcPr>
            <w:tcW w:type="dxa" w:w="1661"/>
          </w:tcPr>
          <w:p>
            <w:pPr>
              <w:pStyle w:val="null3"/>
            </w:pPr>
            <w:r>
              <w:rPr>
                <w:rFonts w:ascii="仿宋_GB2312" w:hAnsi="仿宋_GB2312" w:cs="仿宋_GB2312" w:eastAsia="仿宋_GB2312"/>
              </w:rPr>
              <w:t>项目管理机构组成表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供应商须具有建设行政主管部门颁发的市政公用工程施工总承包二级及以上资质，且具备有效的安全生产许可证。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法定代表人授权书及被授权人身份证（法定代表人直接参加磋商的须提供其法定代表人身份证明，被授 权人参加磋商的须出具法定代表人授权书）；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信息查询</w:t>
            </w:r>
          </w:p>
        </w:tc>
        <w:tc>
          <w:tcPr>
            <w:tcW w:type="dxa" w:w="3322"/>
          </w:tcPr>
          <w:p>
            <w:pPr>
              <w:pStyle w:val="null3"/>
            </w:pPr>
            <w:r>
              <w:rPr>
                <w:rFonts w:ascii="仿宋_GB2312" w:hAnsi="仿宋_GB2312" w:cs="仿宋_GB2312" w:eastAsia="仿宋_GB2312"/>
              </w:rPr>
              <w:t>供应商基本信息及项目负责人基本信息在”陕西省住房和城乡建设厅（http://js.shaanxi.gov.cn/）”可 查询。外省进陕施工企业须提供陕西省住房和城乡建设厅官网企业库外省进陕施工企业信息首页截图；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本项目为专门面向中小企业采购项目，供应商应为中型企业或小型企业，监狱企业或残疾人福利性单位。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资格证明文件.pdf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报价一览表.pdf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磋商内容、响应文件的签署、盖章、磋商报价、磋商有效期、工期</w:t>
            </w:r>
          </w:p>
        </w:tc>
        <w:tc>
          <w:tcPr>
            <w:tcW w:type="dxa" w:w="3322"/>
          </w:tcPr>
          <w:p>
            <w:pPr>
              <w:pStyle w:val="null3"/>
            </w:pPr>
            <w:r>
              <w:rPr>
                <w:rFonts w:ascii="仿宋_GB2312" w:hAnsi="仿宋_GB2312" w:cs="仿宋_GB2312" w:eastAsia="仿宋_GB2312"/>
              </w:rPr>
              <w:t>1、磋商内容是否完整； 2、响应文件的签署、盖章是否按要求签字、盖章； 3、磋商报价是否唯一，且没有超过最高限价；4、磋商有效期是否满足要求；5、工期是否满足要求；</w:t>
            </w:r>
          </w:p>
        </w:tc>
        <w:tc>
          <w:tcPr>
            <w:tcW w:type="dxa" w:w="1661"/>
          </w:tcPr>
          <w:p>
            <w:pPr>
              <w:pStyle w:val="null3"/>
            </w:pPr>
            <w:r>
              <w:rPr>
                <w:rFonts w:ascii="仿宋_GB2312" w:hAnsi="仿宋_GB2312" w:cs="仿宋_GB2312" w:eastAsia="仿宋_GB2312"/>
              </w:rPr>
              <w:t>已标价工程量清单 施工组织设计.pdf 中小企业声明函 其他说明.pdf 服务、技术及其他商务应答表.pdf 报价一览表.pdf 业绩.pdf 强制优先采购产品承诺函 响应文件封面 拒绝政府采购领域商业贿赂承诺书.pdf 项目管理机构组成表 残疾人福利性单位声明函 报价函 标的清单 响应函 资格证明文件.pdf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质量目标符合投标要求，并有详细可靠的质量保证管理制度及措施。内容完整、措施合理得3.5-5.0分， 内容基本完整、措施比较合理得2.0-3.5分， 内容不够完整、措施欠合理得1.0-2.0分。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有详细合理可行的安全施工管理制度及措施。 内容完整、措施合理得3.5-5.0分， 内容基本完整、措施比较合理得2.0-3.5分， 内容不够完整、措施欠合理得1.0-2.0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有详细合理可行的文明施工、降低环境污染的管理制度及措施。 内容完整、措施合理得3.5-5.0分， 内容基本完整、措施比较合理得2.0-3.5分， 内容不够完整、措施欠合理得1.0-2.0分；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确保工期的技术组织措施和进度计划</w:t>
            </w:r>
          </w:p>
        </w:tc>
        <w:tc>
          <w:tcPr>
            <w:tcW w:type="dxa" w:w="2492"/>
          </w:tcPr>
          <w:p>
            <w:pPr>
              <w:pStyle w:val="null3"/>
            </w:pPr>
            <w:r>
              <w:rPr>
                <w:rFonts w:ascii="仿宋_GB2312" w:hAnsi="仿宋_GB2312" w:cs="仿宋_GB2312" w:eastAsia="仿宋_GB2312"/>
              </w:rPr>
              <w:t>施工进度安排、主要材料的供应合理，确保按期完工。内容完整、措施合理得3.5-5 .0分， 内容基本完整、措施比较合理得2.0-3.5分， 内容不够完整、措施欠合理得1 .0-2.0分。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施工机械设施齐全，性能指标及材料投入能够满足项目要求。根据证明材料进行赋分。提供的证明材料齐全，满足项目要求度高， 计3.5-5分；提供的证明材料缺项, 满足项目要求度一般，计2.0-3.5分。 提供的证明材料缺项严重，不满足项目要求 , 计1.0-2.0分。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人员安排计划科学合理、内容具体完整、针对性强计3.5-5.0分； 安排计划基本合理 、具有一定针对性计2.0-3.5分；安排计划，内容不够全面，实施性不强计1.0-2.0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网络图或进度表内容详尽、安排合理且实施性强计3.5-5.0分； 提供网络图或进度表 内容、安排基本合理实施性缺乏计2.0-3.5分； 提供网络图或进度表，内容不够全面 , 实施性不强计1.0-2.0分；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施工组织安排合理、施工部署全面有效、施工工艺先进。内容完整、方案科学、措 施合理得3.5-5.0分； 内容较完整或方案较科学或措施较合理得2.0-3.5分； 内容不 完整或方案不科学或措施不合理得1.0-2.0分；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人员配备合理、全面、有效。 项目管理机构配备人员完整、岗位合理、职能分工明 确计3.5-5.0分； 项目管理机构配备人员较完整或岗位较合理或职能分工较明确计2. 0-3.5分； 项目管理机构配备人员严重不完整或岗位不合理或职能分工不明确计1.0- 2.0分；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施工现场扬尘预防措施</w:t>
            </w:r>
          </w:p>
        </w:tc>
        <w:tc>
          <w:tcPr>
            <w:tcW w:type="dxa" w:w="2492"/>
          </w:tcPr>
          <w:p>
            <w:pPr>
              <w:pStyle w:val="null3"/>
            </w:pPr>
            <w:r>
              <w:rPr>
                <w:rFonts w:ascii="仿宋_GB2312" w:hAnsi="仿宋_GB2312" w:cs="仿宋_GB2312" w:eastAsia="仿宋_GB2312"/>
              </w:rPr>
              <w:t>针对施工现场环境，提出的扬尘预防措施科学、合理、有效。内容完整、措施合理 得3.5-5.0分， 内容基本完整、措施比较合理得2.0-3.5分， 内容不够完整、措施欠 合理得1.0-2.0分。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半成品及成品保护措施</w:t>
            </w:r>
          </w:p>
        </w:tc>
        <w:tc>
          <w:tcPr>
            <w:tcW w:type="dxa" w:w="2492"/>
          </w:tcPr>
          <w:p>
            <w:pPr>
              <w:pStyle w:val="null3"/>
            </w:pPr>
            <w:r>
              <w:rPr>
                <w:rFonts w:ascii="仿宋_GB2312" w:hAnsi="仿宋_GB2312" w:cs="仿宋_GB2312" w:eastAsia="仿宋_GB2312"/>
              </w:rPr>
              <w:t>半成品及成品保护措施制度健全、措施完善得3.5-5.0分，基本健全得2.0-3.5分， 不够完善得1.0-2.0分。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应急预案的承诺情况 , 以及合理化建议</w:t>
            </w:r>
          </w:p>
        </w:tc>
        <w:tc>
          <w:tcPr>
            <w:tcW w:type="dxa" w:w="2492"/>
          </w:tcPr>
          <w:p>
            <w:pPr>
              <w:pStyle w:val="null3"/>
            </w:pPr>
            <w:r>
              <w:rPr>
                <w:rFonts w:ascii="仿宋_GB2312" w:hAnsi="仿宋_GB2312" w:cs="仿宋_GB2312" w:eastAsia="仿宋_GB2312"/>
              </w:rPr>
              <w:t>应急方案内容完整、条例清晰，科学可行得3.5-5分；应急方案内容基本完整、条例 比较清晰得2.0-3.5分； 方案内容简单 、条例不够清晰得1.0-2.0分。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应急预案的承 诺情况 , 以及合理化 建议</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承诺方案专门针对本项目编制，符合项目实际情况及实施要求，内容详尽且涵盖角度全面，合理性和可行性强，保障充分得3.5-5分; 承诺方案内容基本能够针对本项目编制，基本符合项目实际情况及实施要求，内容较详细，涵盖角度较全面，基本合理可行的，得2.0-3.5分; 具有承诺内容但内容未贴合本项目，承诺内容涵盖角度 不全面且实施有难度的，得1.0-2.0分。 未提供承诺内容不得分。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工程业绩</w:t>
            </w:r>
          </w:p>
        </w:tc>
        <w:tc>
          <w:tcPr>
            <w:tcW w:type="dxa" w:w="2492"/>
          </w:tcPr>
          <w:p>
            <w:pPr>
              <w:pStyle w:val="null3"/>
            </w:pPr>
            <w:r>
              <w:rPr>
                <w:rFonts w:ascii="仿宋_GB2312" w:hAnsi="仿宋_GB2312" w:cs="仿宋_GB2312" w:eastAsia="仿宋_GB2312"/>
              </w:rPr>
              <w:t>供应商提供2022年1月至今类似项目业绩，须提供合同或中标（成交）通知书作为 业绩证明，每提供一份业绩加1分，共5分。（以合同签订日期为准或以成交（中标 ) 通知书发出时间为准） 注：在响应文件中须附合同或（成交）中标通知书的清晰 复印件，弄虚作假者，取消其投标资格。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价格分采用低价优先法计算，即满足磋商文件要求且磋商报价最低的磋商报价为评 审基准价，其价格分为满分。其他供应商的磋商报价统一按照下列公式计算： 磋商 报价得分=（磋商基准价/最后磋商报价） ×价格 权值×100 注：磋商小组三分之二 以上成员认为某磋商报价有低 于成本价嫌疑的，涉嫌不正当竞争的，为无效报价。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详见附件：报价一览表.pdf</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详见附件：服务、技术及其他商务应答表.pdf</w:t>
      </w:r>
    </w:p>
    <w:p>
      <w:pPr>
        <w:pStyle w:val="null3"/>
        <w:ind w:firstLine="960"/>
      </w:pPr>
      <w:r>
        <w:rPr>
          <w:rFonts w:ascii="仿宋_GB2312" w:hAnsi="仿宋_GB2312" w:cs="仿宋_GB2312" w:eastAsia="仿宋_GB2312"/>
        </w:rPr>
        <w:t>详见附件：施工组织设计.pdf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详见附件：其他说明.pdf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详见附件：新城区2025年市政道路维护工程施工合同.docx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