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版本号：TJGJ-ZBGC-25-00220251017002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新城区照明设施维管项目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TJGJ-ZBGC-25-002</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陕西中晟同济项目管理有限公司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陕西中晟同济项目管理有限公司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新城区照明设施维管项目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TJGJ-ZBGC-25-002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新城区照明设施维管项目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对新城区区管42条市政道路955盏路灯照明设施日常巡查维护，工单投诉处理，应急抢修及区管路灯照明电费支出。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采购包1（新城区照明设施维管项目）：属于专门面向中小企业采购。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委托书/法定代表人（负责人）身份证明：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2、资格证书：供应商须具备建设行政主管部门颁发的城市及道路照明工程专业承包三级及以上资质；</w:t>
      </w:r>
    </w:p>
    <w:p>
      <w:pPr>
        <w:pStyle w:val="null3"/>
      </w:pPr>
      <w:r>
        <w:rPr>
          <w:rFonts w:ascii="仿宋_GB2312" w:hAnsi="仿宋_GB2312" w:cs="仿宋_GB2312" w:eastAsia="仿宋_GB2312"/>
        </w:rPr>
        <w:t>3、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029-87312632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陕西中晟同济项目管理有限公司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陕西省西安市莲湖区未央路世纪金园B座401室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17792753283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采购包1：1,098,007.00元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代理服务费收费标准：、成交单位在领取成交通知书前，须向采购代理机构支付服务费。 2、服务费由采购人与采购代理机构约定：参照国家计委颁发的《招标代理服务收费管理暂行办法》（计价格〔2002〕1980号）和财政部颁发的《政府采购代理机构管理暂行办法》（财库〔2018〕2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陕西中晟同济项目管理有限公司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陕西中晟同济项目管理有限公司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陕西中晟同济项目管理有限公司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国家标准、行业标准、企业标准。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联系人：柴工</w:t>
      </w:r>
    </w:p>
    <w:p>
      <w:pPr>
        <w:pStyle w:val="null3"/>
      </w:pPr>
      <w:r>
        <w:rPr>
          <w:rFonts w:ascii="仿宋_GB2312" w:hAnsi="仿宋_GB2312" w:cs="仿宋_GB2312" w:eastAsia="仿宋_GB2312"/>
        </w:rPr>
        <w:t>联系电话：17792753283</w:t>
      </w:r>
    </w:p>
    <w:p>
      <w:pPr>
        <w:pStyle w:val="null3"/>
      </w:pPr>
      <w:r>
        <w:rPr>
          <w:rFonts w:ascii="仿宋_GB2312" w:hAnsi="仿宋_GB2312" w:cs="仿宋_GB2312" w:eastAsia="仿宋_GB2312"/>
        </w:rPr>
        <w:t>地址：陕西省西安市莲湖区未央路世纪金园B座401室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对新城区区管42条市政道路955盏路灯照明设施日常巡查维护，工单投诉处理，应急抢修及区管路灯照明电费支出。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1,098,007.00</w:t>
      </w:r>
    </w:p>
    <w:p>
      <w:pPr>
        <w:pStyle w:val="null3"/>
      </w:pPr>
      <w:r>
        <w:rPr>
          <w:rFonts w:ascii="仿宋_GB2312" w:hAnsi="仿宋_GB2312" w:cs="仿宋_GB2312" w:eastAsia="仿宋_GB2312"/>
        </w:rPr>
        <w:t>采购包最高限价（元）: 1,098,007.00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1,098,007.00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309"/>
              <w:gridCol w:w="1879"/>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服务内容及要求</w:t>
                  </w:r>
                </w:p>
              </w:tc>
              <w:tc>
                <w:tcPr>
                  <w:tcW w:type="dxa" w:w="1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w:t>
                  </w:r>
                  <w:r>
                    <w:rPr>
                      <w:rFonts w:ascii="仿宋_GB2312" w:hAnsi="仿宋_GB2312" w:cs="仿宋_GB2312" w:eastAsia="仿宋_GB2312"/>
                      <w:sz w:val="21"/>
                    </w:rPr>
                    <w:t>内容和</w:t>
                  </w:r>
                  <w:r>
                    <w:rPr>
                      <w:rFonts w:ascii="仿宋_GB2312" w:hAnsi="仿宋_GB2312" w:cs="仿宋_GB2312" w:eastAsia="仿宋_GB2312"/>
                      <w:sz w:val="21"/>
                    </w:rPr>
                    <w:t>服务</w:t>
                  </w:r>
                  <w:r>
                    <w:rPr>
                      <w:rFonts w:ascii="仿宋_GB2312" w:hAnsi="仿宋_GB2312" w:cs="仿宋_GB2312" w:eastAsia="仿宋_GB2312"/>
                      <w:sz w:val="21"/>
                    </w:rPr>
                    <w:t>地点、</w:t>
                  </w:r>
                  <w:r>
                    <w:rPr>
                      <w:rFonts w:ascii="仿宋_GB2312" w:hAnsi="仿宋_GB2312" w:cs="仿宋_GB2312" w:eastAsia="仿宋_GB2312"/>
                      <w:sz w:val="21"/>
                    </w:rPr>
                    <w:t>合同履行期限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w:t>
                  </w:r>
                  <w:r>
                    <w:rPr>
                      <w:rFonts w:ascii="仿宋_GB2312" w:hAnsi="仿宋_GB2312" w:cs="仿宋_GB2312" w:eastAsia="仿宋_GB2312"/>
                      <w:sz w:val="21"/>
                    </w:rPr>
                    <w:t>内容：对新城区区管</w:t>
                  </w:r>
                  <w:r>
                    <w:rPr>
                      <w:rFonts w:ascii="仿宋_GB2312" w:hAnsi="仿宋_GB2312" w:cs="仿宋_GB2312" w:eastAsia="仿宋_GB2312"/>
                      <w:sz w:val="21"/>
                    </w:rPr>
                    <w:t>42条市政道路955盏路灯照明设施日常巡查维护</w:t>
                  </w:r>
                  <w:r>
                    <w:rPr>
                      <w:rFonts w:ascii="仿宋_GB2312" w:hAnsi="仿宋_GB2312" w:cs="仿宋_GB2312" w:eastAsia="仿宋_GB2312"/>
                      <w:sz w:val="21"/>
                    </w:rPr>
                    <w:t>，</w:t>
                  </w:r>
                  <w:r>
                    <w:rPr>
                      <w:rFonts w:ascii="仿宋_GB2312" w:hAnsi="仿宋_GB2312" w:cs="仿宋_GB2312" w:eastAsia="仿宋_GB2312"/>
                      <w:sz w:val="21"/>
                    </w:rPr>
                    <w:t>工单投诉处理</w:t>
                  </w:r>
                  <w:r>
                    <w:rPr>
                      <w:rFonts w:ascii="仿宋_GB2312" w:hAnsi="仿宋_GB2312" w:cs="仿宋_GB2312" w:eastAsia="仿宋_GB2312"/>
                      <w:sz w:val="21"/>
                    </w:rPr>
                    <w:t>，</w:t>
                  </w:r>
                  <w:r>
                    <w:rPr>
                      <w:rFonts w:ascii="仿宋_GB2312" w:hAnsi="仿宋_GB2312" w:cs="仿宋_GB2312" w:eastAsia="仿宋_GB2312"/>
                      <w:sz w:val="21"/>
                    </w:rPr>
                    <w:t>应急抢修及区管路灯照明电费支出。</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服务</w:t>
                  </w:r>
                  <w:r>
                    <w:rPr>
                      <w:rFonts w:ascii="仿宋_GB2312" w:hAnsi="仿宋_GB2312" w:cs="仿宋_GB2312" w:eastAsia="仿宋_GB2312"/>
                      <w:sz w:val="21"/>
                    </w:rPr>
                    <w:t>地点：采购人指定地点。</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合同履行期限</w:t>
                  </w:r>
                  <w:r>
                    <w:rPr>
                      <w:rFonts w:ascii="仿宋_GB2312" w:hAnsi="仿宋_GB2312" w:cs="仿宋_GB2312" w:eastAsia="仿宋_GB2312"/>
                      <w:sz w:val="21"/>
                    </w:rPr>
                    <w:t>：一年</w:t>
                  </w:r>
                  <w:r>
                    <w:rPr>
                      <w:rFonts w:ascii="仿宋_GB2312" w:hAnsi="仿宋_GB2312" w:cs="仿宋_GB2312" w:eastAsia="仿宋_GB2312"/>
                      <w:sz w:val="21"/>
                    </w:rPr>
                    <w:t>(履约期以签订合同为准)。</w:t>
                  </w:r>
                </w:p>
                <w:p>
                  <w:pPr>
                    <w:pStyle w:val="null3"/>
                    <w:jc w:val="both"/>
                  </w:pPr>
                  <w:r>
                    <w:rPr>
                      <w:rFonts w:ascii="仿宋_GB2312" w:hAnsi="仿宋_GB2312" w:cs="仿宋_GB2312" w:eastAsia="仿宋_GB2312"/>
                      <w:sz w:val="21"/>
                    </w:rPr>
                    <w:t>2、技术及服务指标: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）按照现行的国家标准或国家行政部门颁布的法律法规、规章制度等行业标准进行日常巡查维护及处理突发事件。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）按照要求处理路灯投诉工单及路灯照明设施应急抢险工作。</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采购清单</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28"/>
                    <w:gridCol w:w="248"/>
                    <w:gridCol w:w="208"/>
                    <w:gridCol w:w="248"/>
                    <w:gridCol w:w="271"/>
                    <w:gridCol w:w="88"/>
                    <w:gridCol w:w="88"/>
                    <w:gridCol w:w="108"/>
                    <w:gridCol w:w="148"/>
                    <w:gridCol w:w="128"/>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道路名称</w:t>
                        </w:r>
                      </w:p>
                    </w:tc>
                    <w:tc>
                      <w:tcPr>
                        <w:tcW w:type="dxa" w:w="4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起止范围</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灯型</w:t>
                        </w:r>
                        <w:r>
                          <w:br/>
                        </w:r>
                        <w:r>
                          <w:rPr>
                            <w:rFonts w:ascii="仿宋_GB2312" w:hAnsi="仿宋_GB2312" w:cs="仿宋_GB2312" w:eastAsia="仿宋_GB2312"/>
                            <w:sz w:val="18"/>
                            <w:b/>
                            <w:color w:val="000000"/>
                          </w:rPr>
                          <w:t>（单火灯</w:t>
                        </w:r>
                        <w:r>
                          <w:rPr>
                            <w:rFonts w:ascii="仿宋_GB2312" w:hAnsi="仿宋_GB2312" w:cs="仿宋_GB2312" w:eastAsia="仿宋_GB2312"/>
                            <w:sz w:val="18"/>
                            <w:b/>
                            <w:color w:val="000000"/>
                          </w:rPr>
                          <w:t>/双火灯/三火灯/四火灯/庭院灯/其它）</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计量单位</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灯杆数量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光源数量</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单灯功率</w:t>
                        </w:r>
                        <w:r>
                          <w:br/>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W）</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损坏数量（预估）</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经九路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经九路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vMerge/>
                        <w:tcBorders>
                          <w:top w:val="none" w:color="000000" w:sz="4"/>
                          <w:left w:val="none" w:color="000000" w:sz="4"/>
                          <w:bottom w:val="single" w:color="000000" w:sz="4"/>
                          <w:right w:val="single" w:color="000000" w:sz="4"/>
                        </w:tcBorders>
                      </w:tc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经九路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太和路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啤酒路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自强东路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潘啤酒路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自强东路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潘啤酒路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龙首北路东段</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龙首东路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建强路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龙首北路东段</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龙首东路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建强路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东元西路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东二环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东元西路西延伸</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经九路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八府庄南北路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东元西路西延伸</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经九路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八府庄南北路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vMerge/>
                        <w:tcBorders>
                          <w:top w:val="none" w:color="000000" w:sz="4"/>
                          <w:left w:val="none" w:color="000000" w:sz="4"/>
                          <w:bottom w:val="single" w:color="000000" w:sz="4"/>
                          <w:right w:val="single" w:color="000000" w:sz="4"/>
                        </w:tcBorders>
                      </w:tc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东元西路西延伸</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经九路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八府庄南北路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纱厂街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纱厂东街</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纱厂街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纱厂东街</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龙首东路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建强路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建强路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自强东路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东二环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八府庄东西二号路规划路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东侧南北规划路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八府庄园安置小区规划路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八府庄园安置小区规划路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八府庄园安置小区规划路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东元西路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二马路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向荣巷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八府庄南路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西铁小区</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新兴路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太华路向东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铁路旁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新兴路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太华路向东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铁路旁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童家巷隧道</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环城北路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向北隧道</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隧道灯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西闸口隧道</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环城北路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向北隧道</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隧道灯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八府庄南路隧道</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华清西路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隧道灯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向荣巷</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二马路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自强东路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向荣巷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建强路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联志路先锋小区东侧巷</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向北</w:t>
                        </w:r>
                        <w:r>
                          <w:rPr>
                            <w:rFonts w:ascii="仿宋_GB2312" w:hAnsi="仿宋_GB2312" w:cs="仿宋_GB2312" w:eastAsia="仿宋_GB2312"/>
                            <w:sz w:val="18"/>
                            <w:color w:val="000000"/>
                          </w:rPr>
                          <w:t>100米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墙上灯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联志路先锋小区东侧巷</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向北</w:t>
                        </w:r>
                        <w:r>
                          <w:rPr>
                            <w:rFonts w:ascii="仿宋_GB2312" w:hAnsi="仿宋_GB2312" w:cs="仿宋_GB2312" w:eastAsia="仿宋_GB2312"/>
                            <w:sz w:val="18"/>
                            <w:color w:val="000000"/>
                          </w:rPr>
                          <w:t>100米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墙上灯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向荣街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二马路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自强东路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联志后村</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龙首南区向东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真理村</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联志东村</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建强路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真理村</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联志东村</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建强路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真理村</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真理村</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联志东村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铁二村</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铁三中门前路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龙首东路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向东向北</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纱厂东侧路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建华路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光明小区南侧路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银河坊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铁路旁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光明小区东侧铁道路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新兴路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银河坊</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阳光路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自强东路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北关正街</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大华二坊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建华路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大华一坊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大华中学西侧</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大华一坊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大华中学西侧</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大华一坊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大华中学西侧</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八府庄二坊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铁路线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八府庄园商业街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八府庄一坊</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八府庄北路东侧规划路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东元西路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vMerge/>
                        <w:tcBorders>
                          <w:top w:val="none" w:color="000000" w:sz="4"/>
                          <w:left w:val="singl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八府庄北路东侧规划路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东元西路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中天锦庭西侧规划路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新兴路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银河坊</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含元北路</w:t>
                        </w:r>
                        <w:r>
                          <w:br/>
                        </w:r>
                        <w:r>
                          <w:rPr>
                            <w:rFonts w:ascii="仿宋_GB2312" w:hAnsi="仿宋_GB2312" w:cs="仿宋_GB2312" w:eastAsia="仿宋_GB2312"/>
                            <w:sz w:val="18"/>
                            <w:color w:val="000000"/>
                          </w:rPr>
                          <w:t>（八府庄园南北规划路）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含元路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啤酒路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八府庄一坊</w:t>
                        </w:r>
                        <w:r>
                          <w:br/>
                        </w:r>
                        <w:r>
                          <w:rPr>
                            <w:rFonts w:ascii="仿宋_GB2312" w:hAnsi="仿宋_GB2312" w:cs="仿宋_GB2312" w:eastAsia="仿宋_GB2312"/>
                            <w:sz w:val="18"/>
                            <w:color w:val="000000"/>
                          </w:rPr>
                          <w:t>（八府庄园东西一号路规划路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红旗专用线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八府庄北路东侧的规划路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建华路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纱厂东街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单臂单光源</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银河坊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太华南路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铁路旁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紫铭路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单火灯</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97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埋地电缆</w:t>
                        </w:r>
                        <w:r>
                          <w:rPr>
                            <w:rFonts w:ascii="仿宋_GB2312" w:hAnsi="仿宋_GB2312" w:cs="仿宋_GB2312" w:eastAsia="仿宋_GB2312"/>
                            <w:sz w:val="18"/>
                            <w:color w:val="000000"/>
                          </w:rPr>
                          <w:t>(包含开挖及回填)</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r>
                </w:tbl>
                <w:p>
                  <w:pPr>
                    <w:pStyle w:val="null3"/>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其他说明</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1、本项目报价综合单价均为全费用（含增值税）单价；</w:t>
                  </w:r>
                </w:p>
                <w:p>
                  <w:pPr>
                    <w:pStyle w:val="null3"/>
                    <w:jc w:val="both"/>
                  </w:pPr>
                  <w:r>
                    <w:rPr>
                      <w:rFonts w:ascii="仿宋_GB2312" w:hAnsi="仿宋_GB2312" w:cs="仿宋_GB2312" w:eastAsia="仿宋_GB2312"/>
                      <w:sz w:val="21"/>
                    </w:rPr>
                    <w:t>2、电费暂估金额37.8222万元；</w:t>
                  </w:r>
                </w:p>
                <w:p>
                  <w:pPr>
                    <w:pStyle w:val="null3"/>
                    <w:jc w:val="both"/>
                  </w:pPr>
                  <w:r>
                    <w:rPr>
                      <w:rFonts w:ascii="仿宋_GB2312" w:hAnsi="仿宋_GB2312" w:cs="仿宋_GB2312" w:eastAsia="仿宋_GB2312"/>
                      <w:sz w:val="21"/>
                    </w:rPr>
                    <w:t>3、特殊恶劣天气应急抢险暂列金额10万元。</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一年(履约期以签订合同为准)。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国家标准、行业标准、企业标准。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履约服务期满后，经第三方履约验收后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固定单价合同，磋商报价是供应商应在磋商报价表中标明完成本项目所要求内容且验收合格的所有费用，总价包括但不限于人工费、维修费、材料费、管理费、招标代理服务费、利润、税金、风险、协调费用及完成工作准备阶段、实施阶段、交付阶段、验收阶段等其他一切相关费用。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（6）若为授权代表参加投标，投标文件中需提供被授权代表开标前三个月内任意一个月在本单位的社保缴纳证明。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法定代表人授权书/法定代表人身份证明：法定代表人授权书（附法定代表人、被授权人身份证复印件）（法定代表人直接参加磋商，须提供法定代表人身份证明）；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供应商须具备建设行政主管部门颁发的城市及道路照明工程专业承包三级及以上资质；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维管服务方案</w:t>
            </w:r>
          </w:p>
        </w:tc>
        <w:tc>
          <w:tcPr>
            <w:tcW w:type="dxa" w:w="2492"/>
          </w:tcPr>
          <w:p>
            <w:pPr>
              <w:pStyle w:val="null3"/>
            </w:pPr>
            <w:r>
              <w:rPr>
                <w:rFonts w:ascii="仿宋_GB2312" w:hAnsi="仿宋_GB2312" w:cs="仿宋_GB2312" w:eastAsia="仿宋_GB2312"/>
              </w:rPr>
              <w:t>维管服务方案全面具体、内容完整、描述详尽，针对性强、可行性强、维护规范合理可行，完全满足项目要求的，得10-15分； 维管服务方案全面具体、内容基本完整、描述简单，针对性一般、可行性一般、维护规范基本合理可行，基本满足项目要求的，得5-10分； 维管服务方案粗略、内容不完整、描述简单，针对性较差、可行性较差、维护不够规范合理，不能完全满足项目要求的，得0-5分。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日常维护制度</w:t>
            </w:r>
          </w:p>
        </w:tc>
        <w:tc>
          <w:tcPr>
            <w:tcW w:type="dxa" w:w="2492"/>
          </w:tcPr>
          <w:p>
            <w:pPr>
              <w:pStyle w:val="null3"/>
            </w:pPr>
            <w:r>
              <w:rPr>
                <w:rFonts w:ascii="仿宋_GB2312" w:hAnsi="仿宋_GB2312" w:cs="仿宋_GB2312" w:eastAsia="仿宋_GB2312"/>
              </w:rPr>
              <w:t>建立日常维护制度，按照要求期限排除故障，按要求定期进行巡检，分析系统运行状况，查看系统日志，排查故障和进行性能优化，进行预防性检测，以防患于未然，同时提供书面维护报告等： 服务标准清晰，针对性强，可行性高，得10-15分； 服务标准较为清晰，针对性一般，有可行性，得5-10分； 服务标准不清晰，针对性差，可行性差得0-5分。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提供项目实施过程中安全保障方案及措施，以及对服务人员的安全承诺。 方案完善、可实施性强，得10-15分； 方案较完善、具有一定实施性，得5-10分； 方案完善性不足、缺少可实施性，得0-5分。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人员配备设置合理，管理及专业人员配备齐全、分工及职责明确，维护人员不少于8人（其中具备特种作业操作证（类别：电工作业）的人员不少于4人），得10-15分； 人员配备较合理，经验较为丰富，分工职责基本明确，维护人员不少于6人（其中具备特种作业操作证（类别：电工作业）的人员不少于3人），得5-10分； 人员配备欠合理，分工职责欠明确，维护人员少于6人或具备特种作业操作证（类别：电工作业）的人员少于3人，得0-5分。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设备、材料配备</w:t>
            </w:r>
          </w:p>
        </w:tc>
        <w:tc>
          <w:tcPr>
            <w:tcW w:type="dxa" w:w="2492"/>
          </w:tcPr>
          <w:p>
            <w:pPr>
              <w:pStyle w:val="null3"/>
            </w:pPr>
            <w:r>
              <w:rPr>
                <w:rFonts w:ascii="仿宋_GB2312" w:hAnsi="仿宋_GB2312" w:cs="仿宋_GB2312" w:eastAsia="仿宋_GB2312"/>
              </w:rPr>
              <w:t>根据本项目要求，提供设备、材料配备方案： 设备、材料配备配置齐全、情况良好，可操作性强，配备巡查车辆或高空作业车两辆及以上，得7-10分； 设备、材料配置投入计划可操作性一般，至少配备巡查车辆、高空作业车各一辆，得4-7分； 设备、材料配置投入计划方案较差，得0-4分。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针对本项目提供应急措施，包含但不限于对本项目整个服务周期内照明设施维护、维修、巡查等出现的任何需要维修的突发情况，有对应的应急措施、应答时间及突发事件解决方案。 方案完善、可实施性强，得7-10分； 方案较完善、具有一定实施性，得4-7分； 方案完善性不足、缺少可实施性，得0-4分。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供应商针对本项目提出具体的服务承诺，包括但不限于服务管理流程、重要时期保障服务等； 承诺详细完整、科学合理可行，针对性强，完全符合项目特点及要求得4-5分； 服务基本完整，针对性较强，基本符合项目特点及要求得2-4分； 服务内容不完整、针对性一般得1-2分；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