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版本号：FDKZB-2025111420251118001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西七路供水管道改造恢复路面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FDKZB-20251114</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菲迪克项目管理咨询（陕西）有限公司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菲迪克项目管理咨询（陕西）有限公司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西七路供水管道改造恢复路面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FDKZB-20251114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西七路供水管道改造恢复路面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西七路供水管道改造恢复路面，具体详见竞争性磋商文件。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采购包1（西七路供水管道改造恢复路面）：属于专门面向小微企业采购。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1、资质证书：供应商须具有建设行政主管部门颁发的市政公用工程施工总承包二级及以上资质，且具备有效的安全生产许可证。</w:t>
      </w:r>
    </w:p>
    <w:p>
      <w:pPr>
        <w:pStyle w:val="null3"/>
      </w:pPr>
      <w:r>
        <w:rPr>
          <w:rFonts w:ascii="仿宋_GB2312" w:hAnsi="仿宋_GB2312" w:cs="仿宋_GB2312" w:eastAsia="仿宋_GB2312"/>
        </w:rPr>
        <w:t>2、法定代表人授权书：法定代表人授权书及被授权人身份证（法定代表人直接参加磋商的须提供其法定代表人身份证明，被授 权人参加磋商的须出具法定代表人授权书）；</w:t>
      </w:r>
    </w:p>
    <w:p>
      <w:pPr>
        <w:pStyle w:val="null3"/>
      </w:pPr>
      <w:r>
        <w:rPr>
          <w:rFonts w:ascii="仿宋_GB2312" w:hAnsi="仿宋_GB2312" w:cs="仿宋_GB2312" w:eastAsia="仿宋_GB2312"/>
        </w:rPr>
        <w:t>3、项目负责人：拟派的项目负责人须为本单位注册的市政公用工程专业二级及以上注册建造师证书和安全生产考核合格证（建安 B 证），且无在建工程（提供承诺书）。</w:t>
      </w:r>
    </w:p>
    <w:p>
      <w:pPr>
        <w:pStyle w:val="null3"/>
      </w:pPr>
      <w:r>
        <w:rPr>
          <w:rFonts w:ascii="仿宋_GB2312" w:hAnsi="仿宋_GB2312" w:cs="仿宋_GB2312" w:eastAsia="仿宋_GB2312"/>
        </w:rPr>
        <w:t>4、信息查询：供应商基本信息及项目负责人基本信息在”陕西省住房和城乡建设厅（http://js.shaanxi.gov.cn/）”可 查询。外省进陕施工企业须提供陕西省住房和城乡建设厅官网企业库外省进陕施工企业信息首页截图；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刘绍东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87312632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菲迪克项目管理咨询（陕西）有限公司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西安市雁塔区科技二路软件园西区太白阁四楼401室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029-87300065/15191464402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采购包1：994,828.33元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的有关规定收取。 招标代理服务费专用户: 名 称：菲迪克项目管理咨询（陕西）有限公司 开户行：西安银行股份有限公司科技路支行 账 号：591011580000303909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菲迪克项目管理咨询（陕西）有限公司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菲迪克项目管理咨询（陕西）有限公司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菲迪克项目管理咨询（陕西）有限公司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菲迪克项目管理咨询（陕西）有限公司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菲迪克项目管理咨询（陕西）有限公司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菲迪克项目管理咨询（陕西）有限公司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联系电话：15191464402</w:t>
      </w:r>
    </w:p>
    <w:p>
      <w:pPr>
        <w:pStyle w:val="null3"/>
      </w:pPr>
      <w:r>
        <w:rPr>
          <w:rFonts w:ascii="仿宋_GB2312" w:hAnsi="仿宋_GB2312" w:cs="仿宋_GB2312" w:eastAsia="仿宋_GB2312"/>
        </w:rPr>
        <w:t>地址：西安市雁塔区科技二路软件园西区太白阁四楼401室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994,828.33</w:t>
      </w:r>
    </w:p>
    <w:p>
      <w:pPr>
        <w:pStyle w:val="null3"/>
      </w:pPr>
      <w:r>
        <w:rPr>
          <w:rFonts w:ascii="仿宋_GB2312" w:hAnsi="仿宋_GB2312" w:cs="仿宋_GB2312" w:eastAsia="仿宋_GB2312"/>
        </w:rPr>
        <w:t>采购包最高限价（元）: 994,828.33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其他专业施工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994,828.33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一、工程内容</w:t>
            </w:r>
          </w:p>
          <w:p>
            <w:pPr>
              <w:pStyle w:val="null3"/>
              <w:ind w:firstLine="400"/>
              <w:jc w:val="left"/>
            </w:pPr>
            <w:r>
              <w:rPr>
                <w:rFonts w:ascii="仿宋_GB2312" w:hAnsi="仿宋_GB2312" w:cs="仿宋_GB2312" w:eastAsia="仿宋_GB2312"/>
                <w:sz w:val="20"/>
                <w:color w:val="000000"/>
              </w:rPr>
              <w:t>西七路供水管道改造恢复路面</w:t>
            </w:r>
            <w:r>
              <w:rPr>
                <w:rFonts w:ascii="仿宋_GB2312" w:hAnsi="仿宋_GB2312" w:cs="仿宋_GB2312" w:eastAsia="仿宋_GB2312"/>
                <w:sz w:val="20"/>
                <w:color w:val="000000"/>
              </w:rPr>
              <w:t>的所有工作内容。具体工作内容详见工程量清单。</w:t>
            </w:r>
          </w:p>
          <w:p>
            <w:pPr>
              <w:pStyle w:val="null3"/>
              <w:jc w:val="left"/>
            </w:pPr>
            <w:r>
              <w:rPr>
                <w:rFonts w:ascii="仿宋_GB2312" w:hAnsi="仿宋_GB2312" w:cs="仿宋_GB2312" w:eastAsia="仿宋_GB2312"/>
                <w:sz w:val="20"/>
                <w:color w:val="000000"/>
              </w:rPr>
              <w:t>二、施工地点、计划工期、</w:t>
            </w:r>
            <w:r>
              <w:rPr>
                <w:rFonts w:ascii="仿宋_GB2312" w:hAnsi="仿宋_GB2312" w:cs="仿宋_GB2312" w:eastAsia="仿宋_GB2312"/>
                <w:sz w:val="20"/>
                <w:color w:val="000000"/>
              </w:rPr>
              <w:t>保修期、</w:t>
            </w:r>
            <w:r>
              <w:rPr>
                <w:rFonts w:ascii="仿宋_GB2312" w:hAnsi="仿宋_GB2312" w:cs="仿宋_GB2312" w:eastAsia="仿宋_GB2312"/>
                <w:sz w:val="20"/>
                <w:color w:val="000000"/>
              </w:rPr>
              <w:t>质量标准</w:t>
            </w:r>
          </w:p>
          <w:p>
            <w:pPr>
              <w:pStyle w:val="null3"/>
              <w:ind w:firstLine="200"/>
              <w:jc w:val="left"/>
            </w:pPr>
            <w:r>
              <w:rPr>
                <w:rFonts w:ascii="仿宋_GB2312" w:hAnsi="仿宋_GB2312" w:cs="仿宋_GB2312" w:eastAsia="仿宋_GB2312"/>
                <w:sz w:val="20"/>
                <w:color w:val="000000"/>
              </w:rPr>
              <w:t>（一）工程地点：采购人指定地点。</w:t>
            </w:r>
          </w:p>
          <w:p>
            <w:pPr>
              <w:pStyle w:val="null3"/>
              <w:ind w:firstLine="200"/>
              <w:jc w:val="left"/>
            </w:pPr>
            <w:r>
              <w:rPr>
                <w:rFonts w:ascii="仿宋_GB2312" w:hAnsi="仿宋_GB2312" w:cs="仿宋_GB2312" w:eastAsia="仿宋_GB2312"/>
                <w:sz w:val="20"/>
                <w:color w:val="000000"/>
              </w:rPr>
              <w:t>（二）计划工期：自合同签订之日起</w:t>
            </w:r>
            <w:r>
              <w:rPr>
                <w:rFonts w:ascii="仿宋_GB2312" w:hAnsi="仿宋_GB2312" w:cs="仿宋_GB2312" w:eastAsia="仿宋_GB2312"/>
                <w:sz w:val="20"/>
                <w:color w:val="000000"/>
              </w:rPr>
              <w:t>30天内完工。</w:t>
            </w:r>
          </w:p>
          <w:p>
            <w:pPr>
              <w:pStyle w:val="null3"/>
              <w:ind w:firstLine="20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保修期：</w:t>
            </w:r>
            <w:r>
              <w:rPr>
                <w:rFonts w:ascii="仿宋_GB2312" w:hAnsi="仿宋_GB2312" w:cs="仿宋_GB2312" w:eastAsia="仿宋_GB2312"/>
                <w:sz w:val="20"/>
                <w:color w:val="000000"/>
              </w:rPr>
              <w:t>2年。</w:t>
            </w:r>
          </w:p>
          <w:p>
            <w:pPr>
              <w:pStyle w:val="null3"/>
              <w:ind w:firstLine="2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）质量标准：符合国家现行有关施工质量验收规范</w:t>
            </w:r>
            <w:r>
              <w:rPr>
                <w:rFonts w:ascii="仿宋_GB2312" w:hAnsi="仿宋_GB2312" w:cs="仿宋_GB2312" w:eastAsia="仿宋_GB2312"/>
                <w:sz w:val="20"/>
                <w:color w:val="000000"/>
              </w:rPr>
              <w:t>“合格”要求</w:t>
            </w:r>
            <w:r>
              <w:rPr>
                <w:rFonts w:ascii="仿宋_GB2312" w:hAnsi="仿宋_GB2312" w:cs="仿宋_GB2312" w:eastAsia="仿宋_GB2312"/>
                <w:sz w:val="20"/>
                <w:color w:val="000000"/>
              </w:rPr>
              <w:t>。</w:t>
            </w:r>
          </w:p>
          <w:p>
            <w:pPr>
              <w:pStyle w:val="null3"/>
              <w:spacing w:before="120"/>
            </w:pPr>
            <w:r>
              <w:rPr>
                <w:rFonts w:ascii="仿宋_GB2312" w:hAnsi="仿宋_GB2312" w:cs="仿宋_GB2312" w:eastAsia="仿宋_GB2312"/>
                <w:sz w:val="20"/>
                <w:color w:val="000000"/>
              </w:rPr>
              <w:t>三、编制依据</w:t>
            </w:r>
          </w:p>
          <w:p>
            <w:pPr>
              <w:pStyle w:val="null3"/>
              <w:spacing w:before="45"/>
              <w:ind w:firstLine="400"/>
              <w:jc w:val="left"/>
            </w:pPr>
            <w:r>
              <w:rPr>
                <w:rFonts w:ascii="仿宋_GB2312" w:hAnsi="仿宋_GB2312" w:cs="仿宋_GB2312" w:eastAsia="仿宋_GB2312"/>
                <w:sz w:val="20"/>
                <w:color w:val="000000"/>
              </w:rPr>
              <w:t>1、西安市新城区城市管理和综合执法局提供的实施方案及施工图等；</w:t>
            </w:r>
          </w:p>
          <w:p>
            <w:pPr>
              <w:pStyle w:val="null3"/>
              <w:spacing w:before="45"/>
              <w:ind w:firstLine="400"/>
              <w:jc w:val="left"/>
            </w:pPr>
            <w:r>
              <w:rPr>
                <w:rFonts w:ascii="仿宋_GB2312" w:hAnsi="仿宋_GB2312" w:cs="仿宋_GB2312" w:eastAsia="仿宋_GB2312"/>
                <w:sz w:val="20"/>
                <w:color w:val="000000"/>
              </w:rPr>
              <w:t>2、《陕西省建设工程工程量清单计价规则》（2025）、《陕西省房屋建筑与装饰工程消耗量定额》（2025）、《陕西省市政设施维修养护定额》（2012）、《陕西省市政工程消耗量定额》（2025）及配套的《陕西省建设工程量清单计价费率》（2025）、《陕西市政工程价目表》(2025)及相关配套取费文件等；</w:t>
            </w:r>
          </w:p>
          <w:p>
            <w:pPr>
              <w:pStyle w:val="null3"/>
              <w:spacing w:before="45"/>
              <w:ind w:firstLine="400"/>
              <w:jc w:val="both"/>
            </w:pPr>
            <w:r>
              <w:rPr>
                <w:rFonts w:ascii="仿宋_GB2312" w:hAnsi="仿宋_GB2312" w:cs="仿宋_GB2312" w:eastAsia="仿宋_GB2312"/>
                <w:sz w:val="20"/>
                <w:color w:val="000000"/>
              </w:rPr>
              <w:t>3、2025年第8期《陕西工程造价信息》信息价及当期市场价；</w:t>
            </w:r>
          </w:p>
          <w:p>
            <w:pPr>
              <w:pStyle w:val="null3"/>
              <w:ind w:firstLine="400"/>
              <w:jc w:val="left"/>
            </w:pPr>
            <w:r>
              <w:rPr>
                <w:rFonts w:ascii="仿宋_GB2312" w:hAnsi="仿宋_GB2312" w:cs="仿宋_GB2312" w:eastAsia="仿宋_GB2312"/>
                <w:sz w:val="20"/>
                <w:color w:val="000000"/>
              </w:rPr>
              <w:t>4、本次工程量清单编制，软件采用广联达云计价平台GCCP7.5000.23.1版本；</w:t>
            </w:r>
          </w:p>
          <w:p>
            <w:pPr>
              <w:pStyle w:val="null3"/>
              <w:spacing w:before="45"/>
              <w:ind w:firstLine="400"/>
              <w:jc w:val="left"/>
            </w:pPr>
            <w:r>
              <w:rPr>
                <w:rFonts w:ascii="仿宋_GB2312" w:hAnsi="仿宋_GB2312" w:cs="仿宋_GB2312" w:eastAsia="仿宋_GB2312"/>
                <w:sz w:val="20"/>
                <w:color w:val="000000"/>
              </w:rPr>
              <w:t>5、正常的施工组织设计及施工方法；</w:t>
            </w:r>
          </w:p>
          <w:p>
            <w:pPr>
              <w:pStyle w:val="null3"/>
              <w:ind w:firstLine="4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其他相关资料</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建筑业的划分标准为：营业收入80000万元以下或资产总额80000万元以下的为中小微型企业。其中，营业收入6000万元及以上，且资产总额5000万元及以上的为中型企业；营业收入300万元及以上，且资产总额300万元及以上的为小型企 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供应商需在项目电子化交易系统中按要求填写《响应函》完成承诺并进行电子签章。①、供应商须具备独立承担民事责任能力的法人、其他组织或自然人，提供营业执照/事业单位法人证书/ 非企业专业服务机构执业许可证/自然人身份证；②、依法缴纳税收和社会保障资金的良好记录。依法缴纳税收的良好记录（提供截止至磋商时间前12个月 内任一月份的缴费凭据,依法免税的单位应提供相关证明材料）；依法缴纳社会保障资金的良好记录 (提供截止至磋商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具有履行合同所必需的设备和专业技术能力的承诺</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需在项目电子化交易系统中按要求上传相应证明文件并进行电子签章。须提供2024年度财务报告；或其基本开户银行出具的资信证明；或磋商担保函（以上三种形式的资料提供任何一种即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供应商须具有建设行政主管部门颁发的市政公用工程施工总承包二级及以上资质，且具备有效的安全生产许可证。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法定代表人授权书及被授权人身份证（法定代表人直接参加磋商的须提供其法定代表人身份证明，被授 权人参加磋商的须出具法定代表人授权书）；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拟派的项目负责人须为本单位注册的市政公用工程专业二级及以上注册建造师证书和安全生产考核合格证（建安 B 证），且无在建工程（提供承诺书）。</w:t>
            </w:r>
          </w:p>
        </w:tc>
        <w:tc>
          <w:tcPr>
            <w:tcW w:type="dxa" w:w="1661"/>
          </w:tcPr>
          <w:p>
            <w:pPr>
              <w:pStyle w:val="null3"/>
            </w:pPr>
            <w:r>
              <w:rPr>
                <w:rFonts w:ascii="仿宋_GB2312" w:hAnsi="仿宋_GB2312" w:cs="仿宋_GB2312" w:eastAsia="仿宋_GB2312"/>
              </w:rPr>
              <w:t>项目管理机构组成表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供应商基本信息及项目负责人基本信息在”陕西省住房和城乡建设厅（http://js.shaanxi.gov.cn/）”可 查询。外省进陕施工企业须提供陕西省住房和城乡建设厅官网企业库外省进陕施工企业信息首页截图；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磋商内容、响应文件的签署、盖章、磋商报价、磋商有效期、工期</w:t>
            </w:r>
          </w:p>
        </w:tc>
        <w:tc>
          <w:tcPr>
            <w:tcW w:type="dxa" w:w="3322"/>
          </w:tcPr>
          <w:p>
            <w:pPr>
              <w:pStyle w:val="null3"/>
            </w:pPr>
            <w:r>
              <w:rPr>
                <w:rFonts w:ascii="仿宋_GB2312" w:hAnsi="仿宋_GB2312" w:cs="仿宋_GB2312" w:eastAsia="仿宋_GB2312"/>
              </w:rPr>
              <w:t>1、磋商内容是否完整； 2、响应文件的签署、盖章是否按要求签字、盖章； 3、磋商报价是否唯一，且没有超过最高限价；4、磋商有效期是否满足要求；5、工期是否满足要求</w:t>
            </w:r>
          </w:p>
        </w:tc>
        <w:tc>
          <w:tcPr>
            <w:tcW w:type="dxa" w:w="1661"/>
          </w:tcPr>
          <w:p>
            <w:pPr>
              <w:pStyle w:val="null3"/>
            </w:pPr>
            <w:r>
              <w:rPr>
                <w:rFonts w:ascii="仿宋_GB2312" w:hAnsi="仿宋_GB2312" w:cs="仿宋_GB2312" w:eastAsia="仿宋_GB2312"/>
              </w:rPr>
              <w:t>已标价工程量清单 施工组织设计.pdf 中小企业声明函 服务、技术及其他商务应答表.pdf 强制优先采购产品承诺函 响应文件封面 拒绝政府采购领域商业贿赂承诺书.pdf 项目管理机构组成表 残疾人福利性单位声明函 报价函 标的清单 供应商类似项目业绩一览表 响应函 资格证明文件.pdf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施工组织安排合理、施工部署全面有效、施工工艺先进： （1）内容完整、方案科学、措施合理得(3.5-5.0分]； （2）内容较完整或方案较科学或措施较合理得(2.0-3.5分]； （3）内容不完整或方案不科学或措施不合理得(0-2.0分]；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质量目标符合投标要求，并有详细可靠的质量保证管理制度及措施：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有详细合理可行的安全施工管理制度及措施：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有详细合理可行的文明施工、降低环境污染的管理制度及措施： （1）内容完整、措施合理得(3.5-5.0分]； （2）内容基本完整、措施比较合理得(2.0-3.5分]； （3）内容不够完整、措施 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确保工期的技术组织措施和进度计划</w:t>
            </w:r>
          </w:p>
        </w:tc>
        <w:tc>
          <w:tcPr>
            <w:tcW w:type="dxa" w:w="2492"/>
          </w:tcPr>
          <w:p>
            <w:pPr>
              <w:pStyle w:val="null3"/>
            </w:pPr>
            <w:r>
              <w:rPr>
                <w:rFonts w:ascii="仿宋_GB2312" w:hAnsi="仿宋_GB2312" w:cs="仿宋_GB2312" w:eastAsia="仿宋_GB2312"/>
              </w:rPr>
              <w:t>施工进度安排、主要材料的供应合理，确保按期完工：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施工机械设施齐全，性能指标及材料投入能够满足项目要求。根据证明材料进行赋分： （1）提供的证明材料齐全，满足项目要求度高，得(3.5-5.0分]； （2）提供的证明材料缺项，满足项目要求度一般，得(2.0-3.5分]； （3）提供的证明材料缺项严重，不满足项目要求，得(0-2.0分]；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（1）人员安排计划科学合理、内容具体完整、针对性强，得(3.5-5.0分]； （2）安排计划基本合理 、具有一定针对性计，得(2.0-3.5分]； （3）安排计划，内容不够全面，实施性不强计，得(0-2.0分]；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（1）网络图或进度表内容详尽、安排合理且实施性强，得(3.5-5.0分]； （2）提供网络图或进度表内容、安排基本合理实施性缺乏，得(2.0-3.5分]； （3）提供网络图或进度表，内容不够全面，实施性不强，得(0-2.0分]；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人员配备合理、全面、有效： （1）项目管理机构配备人员完整、岗位合理、职能分工明确，得(3.5-5.0分]； （2）项目管理机构配备人员较完整或岗位较合理或职能分工较明确，得(2.0-3.5分]； （3）项目管理机构配备人员严重不完整或岗位不合理或职能分工不明确，得(0-2.0分]；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施工现场扬尘预防措施</w:t>
            </w:r>
          </w:p>
        </w:tc>
        <w:tc>
          <w:tcPr>
            <w:tcW w:type="dxa" w:w="2492"/>
          </w:tcPr>
          <w:p>
            <w:pPr>
              <w:pStyle w:val="null3"/>
            </w:pPr>
            <w:r>
              <w:rPr>
                <w:rFonts w:ascii="仿宋_GB2312" w:hAnsi="仿宋_GB2312" w:cs="仿宋_GB2312" w:eastAsia="仿宋_GB2312"/>
              </w:rPr>
              <w:t>针对施工现场环境，提出的扬尘预防措施科学、合理、有效。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半成品及成品保护措施</w:t>
            </w:r>
          </w:p>
        </w:tc>
        <w:tc>
          <w:tcPr>
            <w:tcW w:type="dxa" w:w="2492"/>
          </w:tcPr>
          <w:p>
            <w:pPr>
              <w:pStyle w:val="null3"/>
            </w:pPr>
            <w:r>
              <w:rPr>
                <w:rFonts w:ascii="仿宋_GB2312" w:hAnsi="仿宋_GB2312" w:cs="仿宋_GB2312" w:eastAsia="仿宋_GB2312"/>
              </w:rPr>
              <w:t>（1）半成品及成品保护措施制度健全、措施完善，得(3.5-5.0分]； （2）基本健全，得(2.0-3.5分]； （3）不够完善，得(0-2.0分]；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应急预案的承诺情况以及合理化建议</w:t>
            </w:r>
          </w:p>
        </w:tc>
        <w:tc>
          <w:tcPr>
            <w:tcW w:type="dxa" w:w="2492"/>
          </w:tcPr>
          <w:p>
            <w:pPr>
              <w:pStyle w:val="null3"/>
            </w:pPr>
            <w:r>
              <w:rPr>
                <w:rFonts w:ascii="仿宋_GB2312" w:hAnsi="仿宋_GB2312" w:cs="仿宋_GB2312" w:eastAsia="仿宋_GB2312"/>
              </w:rPr>
              <w:t>（1）应急方案内容完整、条例清晰，科学可行，得(3.5-5.0分]； （2）应急方案内容基本完整、条例比较清晰，得(2.0-3.5分]； （3）方案内容简单、条例不够清晰，得(0-2.0分]；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（1）承诺方案专门针对本项目编制，符合项目实际情况及实施要求，内容详尽且涵盖角度全面，合理性和可行性强，保障充分，得（3.5-5.0分]； （2）承诺方案内容基本能够针对本项目编制，基本符合项目实际情况及实施要求，内容较详细，涵盖角度较全面，基本合理可行的，得（2.0-3.5分]； （3）具有承诺内容但内容未贴合本项目，承诺内容涵盖角度 不全面且实施有难度的，得（0-2.0分]；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供应商提供2022年11月至今类似项目业绩，须提供合同或中标（成交）通知书作为业绩证明，每提供一份业绩加1分，共5分。（以合同签订日期为准或以成交（中标 ) 通知书发出时间为准） 注：在响应文件中须附合同或（成交）中标通知书的清晰复印件，弄虚作假者，取消其投标资格。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价格分采用低价优先法计算，即满足磋商文件要求且磋商报价最低的磋商报价为评审基准价，其价格分为满分。其他供应商的磋商报价统一按照下列公式计算： 磋商报价得分=（磋商基准价/最后磋商报价）×价格权值×100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详见附件：施工组织设计.pdf</w:t>
      </w:r>
    </w:p>
    <w:p>
      <w:pPr>
        <w:pStyle w:val="null3"/>
        <w:ind w:firstLine="960"/>
      </w:pPr>
      <w:r>
        <w:rPr>
          <w:rFonts w:ascii="仿宋_GB2312" w:hAnsi="仿宋_GB2312" w:cs="仿宋_GB2312" w:eastAsia="仿宋_GB2312"/>
        </w:rPr>
        <w:t>详见附件：服务、技术及其他商务应答表.pdf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详见附件：合同(西七路供水管道改造恢复路面).docx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