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版本号：FDKZB-2025111920251120001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南长巷、西八路等恢复路面工程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FDKZB-20251119</w:t>
      </w:r>
      <w:r>
        <w:br/>
      </w:r>
      <w:r>
        <w:br/>
      </w:r>
      <w:r>
        <w:br/>
      </w:r>
    </w:p>
    <w:p>
      <w:pPr>
        <w:pStyle w:val="null3"/>
        <w:jc w:val="center"/>
        <w:outlineLvl w:val="2"/>
      </w:pPr>
      <w:r>
        <w:rPr>
          <w:rFonts w:ascii="仿宋_GB2312" w:hAnsi="仿宋_GB2312" w:cs="仿宋_GB2312" w:eastAsia="仿宋_GB2312"/>
          <w:sz w:val="28"/>
          <w:b/>
        </w:rPr>
        <w:t>西安市新城区城市管理和综合执法局</w:t>
      </w:r>
    </w:p>
    <w:p>
      <w:pPr>
        <w:pStyle w:val="null3"/>
        <w:jc w:val="center"/>
        <w:outlineLvl w:val="2"/>
      </w:pPr>
      <w:r>
        <w:rPr>
          <w:rFonts w:ascii="仿宋_GB2312" w:hAnsi="仿宋_GB2312" w:cs="仿宋_GB2312" w:eastAsia="仿宋_GB2312"/>
          <w:sz w:val="28"/>
          <w:b/>
        </w:rPr>
        <w:t>菲迪克项目管理咨询（陕西）有限公司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菲迪克项目管理咨询（陕西）有限公司</w:t>
      </w:r>
      <w:r>
        <w:rPr>
          <w:rFonts w:ascii="仿宋_GB2312" w:hAnsi="仿宋_GB2312" w:cs="仿宋_GB2312" w:eastAsia="仿宋_GB2312"/>
        </w:rPr>
        <w:t>（以下简称“代理机构”）受</w:t>
      </w:r>
      <w:r>
        <w:rPr>
          <w:rFonts w:ascii="仿宋_GB2312" w:hAnsi="仿宋_GB2312" w:cs="仿宋_GB2312" w:eastAsia="仿宋_GB2312"/>
        </w:rPr>
        <w:t>西安市新城区城市管理和综合执法局</w:t>
      </w:r>
      <w:r>
        <w:rPr>
          <w:rFonts w:ascii="仿宋_GB2312" w:hAnsi="仿宋_GB2312" w:cs="仿宋_GB2312" w:eastAsia="仿宋_GB2312"/>
        </w:rPr>
        <w:t>委托，拟对</w:t>
      </w:r>
      <w:r>
        <w:rPr>
          <w:rFonts w:ascii="仿宋_GB2312" w:hAnsi="仿宋_GB2312" w:cs="仿宋_GB2312" w:eastAsia="仿宋_GB2312"/>
        </w:rPr>
        <w:t>南长巷、西八路等恢复路面工程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FDKZB-20251119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南长巷、西八路等恢复路面工程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南长巷、西八路等恢复路面工程，具体详见竞争性磋商文件。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采购包1（南长巷、西八路等恢复路面工程）：属于专门面向中小企业采购。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1、法定代表人授权书：法定代表人授权书及被授权人身份证（法定代表人直接参加磋商的须提供其法定代表人身份证，被授权人参加磋商的须出具法定代表人授权书）。</w:t>
      </w:r>
    </w:p>
    <w:p>
      <w:pPr>
        <w:pStyle w:val="null3"/>
      </w:pPr>
      <w:r>
        <w:rPr>
          <w:rFonts w:ascii="仿宋_GB2312" w:hAnsi="仿宋_GB2312" w:cs="仿宋_GB2312" w:eastAsia="仿宋_GB2312"/>
        </w:rPr>
        <w:t>2、资质证书：供应商须具有建设行政主管部门颁发的市政公用工程施工总承包二级及以上资质，且具备有效的安全生产许可证。</w:t>
      </w:r>
    </w:p>
    <w:p>
      <w:pPr>
        <w:pStyle w:val="null3"/>
      </w:pPr>
      <w:r>
        <w:rPr>
          <w:rFonts w:ascii="仿宋_GB2312" w:hAnsi="仿宋_GB2312" w:cs="仿宋_GB2312" w:eastAsia="仿宋_GB2312"/>
        </w:rPr>
        <w:t>3、项目经理：拟派的项目负责人须为本单位注册的市政公用工程专业二级及以上注册建造师证书和安全生产考核合格证（建安 B 证），且无在建工程（提供承诺书）。</w:t>
      </w:r>
    </w:p>
    <w:p>
      <w:pPr>
        <w:pStyle w:val="null3"/>
      </w:pPr>
      <w:r>
        <w:rPr>
          <w:rFonts w:ascii="仿宋_GB2312" w:hAnsi="仿宋_GB2312" w:cs="仿宋_GB2312" w:eastAsia="仿宋_GB2312"/>
        </w:rPr>
        <w:t>4、信息查询：供应商基本信息及项目经理基本信息在”陕西省住房和城乡建设厅（http://js.shaanxi.gov.cn/）”可查询。外省进陕施工企业须提供陕西省住房和城乡建设厅官网企业库外省进陕施工企业信息首页截图。</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西安市新城区城市管理和综合执法局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西安市新城区东五路83号民安大厦B座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刘绍东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87312632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菲迪克项目管理咨询（陕西）有限公司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西安市雁塔区科技二路软件园西区太白阁四楼401室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029-87300065/15191464402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采购包1：2,487,142.11元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的金额参照《国家计委关于印发&lt;招标代理服务收费管理暂行办法&gt;的通知》（计价格[2002]1980号）和国家发改委办公厅颁发的《关于招标代理服务收费有关问题的通知》（发改办价格【2003】857号）的有关规定收取。 招标代理服务费专用户: 名 称：菲迪克项目管理咨询（陕西）有限公司 开户行：西安银行股份有限公司科技路支行 账 号：59101158000030390</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西安市新城区城市管理和综合执法局</w:t>
      </w:r>
      <w:r>
        <w:rPr>
          <w:rFonts w:ascii="仿宋_GB2312" w:hAnsi="仿宋_GB2312" w:cs="仿宋_GB2312" w:eastAsia="仿宋_GB2312"/>
        </w:rPr>
        <w:t>和</w:t>
      </w:r>
      <w:r>
        <w:rPr>
          <w:rFonts w:ascii="仿宋_GB2312" w:hAnsi="仿宋_GB2312" w:cs="仿宋_GB2312" w:eastAsia="仿宋_GB2312"/>
        </w:rPr>
        <w:t>菲迪克项目管理咨询（陕西）有限公司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西安市新城区城市管理和综合执法局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菲迪克项目管理咨询（陕西）有限公司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西安市新城区城市管理和综合执法局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菲迪克项目管理咨询（陕西）有限公司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满足国家及行业相关标准及要求。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菲迪克项目管理咨询（陕西）有限公司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菲迪克项目管理咨询（陕西）有限公司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菲迪克项目管理咨询（陕西）有限公司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联系人：张工</w:t>
      </w:r>
    </w:p>
    <w:p>
      <w:pPr>
        <w:pStyle w:val="null3"/>
      </w:pPr>
      <w:r>
        <w:rPr>
          <w:rFonts w:ascii="仿宋_GB2312" w:hAnsi="仿宋_GB2312" w:cs="仿宋_GB2312" w:eastAsia="仿宋_GB2312"/>
        </w:rPr>
        <w:t>联系电话：15191464402</w:t>
      </w:r>
    </w:p>
    <w:p>
      <w:pPr>
        <w:pStyle w:val="null3"/>
      </w:pPr>
      <w:r>
        <w:rPr>
          <w:rFonts w:ascii="仿宋_GB2312" w:hAnsi="仿宋_GB2312" w:cs="仿宋_GB2312" w:eastAsia="仿宋_GB2312"/>
        </w:rPr>
        <w:t>地址：西安市雁塔区科技二路软件园西区太白阁四楼401室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2,487,142.11</w:t>
      </w:r>
    </w:p>
    <w:p>
      <w:pPr>
        <w:pStyle w:val="null3"/>
      </w:pPr>
      <w:r>
        <w:rPr>
          <w:rFonts w:ascii="仿宋_GB2312" w:hAnsi="仿宋_GB2312" w:cs="仿宋_GB2312" w:eastAsia="仿宋_GB2312"/>
        </w:rPr>
        <w:t>采购包最高限价（元）: 2,487,142.11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其他专业施工</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2,487,142.11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标的名称：其他专业施工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0"/>
                <w:color w:val="000000"/>
              </w:rPr>
              <w:t>一、工程内容</w:t>
            </w:r>
          </w:p>
          <w:p>
            <w:pPr>
              <w:pStyle w:val="null3"/>
              <w:ind w:firstLine="400"/>
              <w:jc w:val="left"/>
            </w:pPr>
            <w:r>
              <w:rPr>
                <w:rFonts w:ascii="仿宋_GB2312" w:hAnsi="仿宋_GB2312" w:cs="仿宋_GB2312" w:eastAsia="仿宋_GB2312"/>
                <w:sz w:val="20"/>
                <w:color w:val="000000"/>
              </w:rPr>
              <w:t>南长巷、西八路等恢复路面工程</w:t>
            </w:r>
            <w:r>
              <w:rPr>
                <w:rFonts w:ascii="仿宋_GB2312" w:hAnsi="仿宋_GB2312" w:cs="仿宋_GB2312" w:eastAsia="仿宋_GB2312"/>
                <w:sz w:val="20"/>
                <w:color w:val="000000"/>
              </w:rPr>
              <w:t>的所有工作内容。具体工作内容详见工程量清单。</w:t>
            </w:r>
          </w:p>
          <w:p>
            <w:pPr>
              <w:pStyle w:val="null3"/>
              <w:jc w:val="left"/>
            </w:pPr>
            <w:r>
              <w:rPr>
                <w:rFonts w:ascii="仿宋_GB2312" w:hAnsi="仿宋_GB2312" w:cs="仿宋_GB2312" w:eastAsia="仿宋_GB2312"/>
                <w:sz w:val="20"/>
                <w:color w:val="000000"/>
              </w:rPr>
              <w:t>二、施工地点、计划工期、质量标准</w:t>
            </w:r>
          </w:p>
          <w:p>
            <w:pPr>
              <w:pStyle w:val="null3"/>
              <w:ind w:firstLine="200"/>
              <w:jc w:val="left"/>
            </w:pPr>
            <w:r>
              <w:rPr>
                <w:rFonts w:ascii="仿宋_GB2312" w:hAnsi="仿宋_GB2312" w:cs="仿宋_GB2312" w:eastAsia="仿宋_GB2312"/>
                <w:sz w:val="20"/>
                <w:color w:val="000000"/>
              </w:rPr>
              <w:t>（一）工程地点：采购人指定地点。</w:t>
            </w:r>
          </w:p>
          <w:p>
            <w:pPr>
              <w:pStyle w:val="null3"/>
              <w:ind w:firstLine="200"/>
              <w:jc w:val="left"/>
            </w:pPr>
            <w:r>
              <w:rPr>
                <w:rFonts w:ascii="仿宋_GB2312" w:hAnsi="仿宋_GB2312" w:cs="仿宋_GB2312" w:eastAsia="仿宋_GB2312"/>
                <w:sz w:val="20"/>
                <w:color w:val="000000"/>
              </w:rPr>
              <w:t>（二）计划工期：自合同签订之日起</w:t>
            </w:r>
            <w:r>
              <w:rPr>
                <w:rFonts w:ascii="仿宋_GB2312" w:hAnsi="仿宋_GB2312" w:cs="仿宋_GB2312" w:eastAsia="仿宋_GB2312"/>
                <w:sz w:val="20"/>
                <w:color w:val="000000"/>
              </w:rPr>
              <w:t>60</w:t>
            </w:r>
            <w:r>
              <w:rPr>
                <w:rFonts w:ascii="仿宋_GB2312" w:hAnsi="仿宋_GB2312" w:cs="仿宋_GB2312" w:eastAsia="仿宋_GB2312"/>
                <w:sz w:val="20"/>
                <w:color w:val="000000"/>
              </w:rPr>
              <w:t>天内完工。</w:t>
            </w:r>
          </w:p>
          <w:p>
            <w:pPr>
              <w:pStyle w:val="null3"/>
              <w:ind w:firstLine="200"/>
              <w:jc w:val="left"/>
            </w:pPr>
            <w:r>
              <w:rPr>
                <w:rFonts w:ascii="仿宋_GB2312" w:hAnsi="仿宋_GB2312" w:cs="仿宋_GB2312" w:eastAsia="仿宋_GB2312"/>
                <w:sz w:val="20"/>
                <w:color w:val="000000"/>
              </w:rPr>
              <w:t>（三）</w:t>
            </w:r>
            <w:r>
              <w:rPr>
                <w:rFonts w:ascii="仿宋_GB2312" w:hAnsi="仿宋_GB2312" w:cs="仿宋_GB2312" w:eastAsia="仿宋_GB2312"/>
                <w:sz w:val="20"/>
                <w:color w:val="000000"/>
              </w:rPr>
              <w:t>保修期：</w:t>
            </w:r>
            <w:r>
              <w:rPr>
                <w:rFonts w:ascii="仿宋_GB2312" w:hAnsi="仿宋_GB2312" w:cs="仿宋_GB2312" w:eastAsia="仿宋_GB2312"/>
                <w:sz w:val="20"/>
                <w:color w:val="000000"/>
              </w:rPr>
              <w:t>2年。</w:t>
            </w:r>
          </w:p>
          <w:p>
            <w:pPr>
              <w:pStyle w:val="null3"/>
              <w:ind w:firstLine="200"/>
              <w:jc w:val="left"/>
            </w:pPr>
            <w:r>
              <w:rPr>
                <w:rFonts w:ascii="仿宋_GB2312" w:hAnsi="仿宋_GB2312" w:cs="仿宋_GB2312" w:eastAsia="仿宋_GB2312"/>
                <w:sz w:val="20"/>
                <w:color w:val="000000"/>
              </w:rPr>
              <w:t>（</w:t>
            </w:r>
            <w:r>
              <w:rPr>
                <w:rFonts w:ascii="仿宋_GB2312" w:hAnsi="仿宋_GB2312" w:cs="仿宋_GB2312" w:eastAsia="仿宋_GB2312"/>
                <w:sz w:val="20"/>
                <w:color w:val="000000"/>
              </w:rPr>
              <w:t>四</w:t>
            </w:r>
            <w:r>
              <w:rPr>
                <w:rFonts w:ascii="仿宋_GB2312" w:hAnsi="仿宋_GB2312" w:cs="仿宋_GB2312" w:eastAsia="仿宋_GB2312"/>
                <w:sz w:val="20"/>
                <w:color w:val="000000"/>
              </w:rPr>
              <w:t>）质量标准：符合国家现行有关施工质量验收规范</w:t>
            </w:r>
            <w:r>
              <w:rPr>
                <w:rFonts w:ascii="仿宋_GB2312" w:hAnsi="仿宋_GB2312" w:cs="仿宋_GB2312" w:eastAsia="仿宋_GB2312"/>
                <w:sz w:val="20"/>
                <w:color w:val="000000"/>
              </w:rPr>
              <w:t>“合格”要求</w:t>
            </w:r>
            <w:r>
              <w:rPr>
                <w:rFonts w:ascii="仿宋_GB2312" w:hAnsi="仿宋_GB2312" w:cs="仿宋_GB2312" w:eastAsia="仿宋_GB2312"/>
                <w:sz w:val="20"/>
                <w:color w:val="000000"/>
              </w:rPr>
              <w:t>。</w:t>
            </w:r>
          </w:p>
          <w:p>
            <w:pPr>
              <w:pStyle w:val="null3"/>
              <w:spacing w:before="120"/>
            </w:pPr>
            <w:r>
              <w:rPr>
                <w:rFonts w:ascii="仿宋_GB2312" w:hAnsi="仿宋_GB2312" w:cs="仿宋_GB2312" w:eastAsia="仿宋_GB2312"/>
                <w:sz w:val="20"/>
                <w:color w:val="000000"/>
              </w:rPr>
              <w:t>三、编制依据</w:t>
            </w:r>
          </w:p>
          <w:p>
            <w:pPr>
              <w:pStyle w:val="null3"/>
              <w:spacing w:before="45"/>
              <w:ind w:firstLine="400"/>
              <w:jc w:val="left"/>
            </w:pPr>
            <w:r>
              <w:rPr>
                <w:rFonts w:ascii="仿宋_GB2312" w:hAnsi="仿宋_GB2312" w:cs="仿宋_GB2312" w:eastAsia="仿宋_GB2312"/>
                <w:sz w:val="20"/>
                <w:color w:val="000000"/>
              </w:rPr>
              <w:t>1、西安市新城区城市管理和综合执法局提供的实施方案及施工图等；</w:t>
            </w:r>
          </w:p>
          <w:p>
            <w:pPr>
              <w:pStyle w:val="null3"/>
              <w:spacing w:before="45"/>
              <w:ind w:firstLine="400"/>
              <w:jc w:val="left"/>
            </w:pPr>
            <w:r>
              <w:rPr>
                <w:rFonts w:ascii="仿宋_GB2312" w:hAnsi="仿宋_GB2312" w:cs="仿宋_GB2312" w:eastAsia="仿宋_GB2312"/>
                <w:sz w:val="20"/>
                <w:color w:val="000000"/>
              </w:rPr>
              <w:t>2、《陕西省建设工程工程量清单计价规则》（2025）、《陕西省房屋建筑与装饰工程消耗量定额》（2025）、《陕西省市政设施维修养护定额》（2012）、《陕西省市政工程消耗量定额》（2025）及配套的《陕西省建设工程量清单计价费率》（2025）、《陕西市政工程价目表》(2025)及相关配套取费文件等；</w:t>
            </w:r>
          </w:p>
          <w:p>
            <w:pPr>
              <w:pStyle w:val="null3"/>
              <w:spacing w:before="45"/>
              <w:ind w:firstLine="400"/>
              <w:jc w:val="both"/>
            </w:pPr>
            <w:r>
              <w:rPr>
                <w:rFonts w:ascii="仿宋_GB2312" w:hAnsi="仿宋_GB2312" w:cs="仿宋_GB2312" w:eastAsia="仿宋_GB2312"/>
                <w:sz w:val="20"/>
                <w:color w:val="000000"/>
              </w:rPr>
              <w:t>3、</w:t>
            </w:r>
            <w:r>
              <w:rPr>
                <w:rFonts w:ascii="仿宋_GB2312" w:hAnsi="仿宋_GB2312" w:cs="仿宋_GB2312" w:eastAsia="仿宋_GB2312"/>
                <w:sz w:val="20"/>
                <w:color w:val="000000"/>
              </w:rPr>
              <w:t>2025年第7期《陕西工程造价信息》信息价及当期市场价；</w:t>
            </w:r>
          </w:p>
          <w:p>
            <w:pPr>
              <w:pStyle w:val="null3"/>
              <w:ind w:firstLine="400"/>
              <w:jc w:val="left"/>
            </w:pPr>
            <w:r>
              <w:rPr>
                <w:rFonts w:ascii="仿宋_GB2312" w:hAnsi="仿宋_GB2312" w:cs="仿宋_GB2312" w:eastAsia="仿宋_GB2312"/>
                <w:sz w:val="20"/>
                <w:color w:val="000000"/>
              </w:rPr>
              <w:t>4、本次最高限价编制，软件采用广联达云计价平台GCCP7.5000.23.1版本；</w:t>
            </w:r>
          </w:p>
          <w:p>
            <w:pPr>
              <w:pStyle w:val="null3"/>
              <w:spacing w:before="45"/>
              <w:ind w:firstLine="400"/>
              <w:jc w:val="left"/>
            </w:pPr>
            <w:r>
              <w:rPr>
                <w:rFonts w:ascii="仿宋_GB2312" w:hAnsi="仿宋_GB2312" w:cs="仿宋_GB2312" w:eastAsia="仿宋_GB2312"/>
                <w:sz w:val="20"/>
                <w:color w:val="000000"/>
              </w:rPr>
              <w:t>5、正常的施工组织设计及施工方法；</w:t>
            </w:r>
          </w:p>
          <w:p>
            <w:pPr>
              <w:pStyle w:val="null3"/>
              <w:ind w:firstLine="400"/>
              <w:jc w:val="left"/>
            </w:pPr>
            <w:r>
              <w:rPr>
                <w:rFonts w:ascii="仿宋_GB2312" w:hAnsi="仿宋_GB2312" w:cs="仿宋_GB2312" w:eastAsia="仿宋_GB2312"/>
                <w:sz w:val="20"/>
                <w:color w:val="000000"/>
              </w:rPr>
              <w:t>6、</w:t>
            </w:r>
            <w:r>
              <w:rPr>
                <w:rFonts w:ascii="仿宋_GB2312" w:hAnsi="仿宋_GB2312" w:cs="仿宋_GB2312" w:eastAsia="仿宋_GB2312"/>
                <w:sz w:val="20"/>
                <w:color w:val="000000"/>
              </w:rPr>
              <w:t>其他相关资料</w:t>
            </w:r>
            <w:r>
              <w:rPr>
                <w:rFonts w:ascii="仿宋_GB2312" w:hAnsi="仿宋_GB2312" w:cs="仿宋_GB2312" w:eastAsia="仿宋_GB2312"/>
                <w:sz w:val="20"/>
                <w:color w:val="000000"/>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建筑业的划分标准为：营业收入80000万元以下或资产总额80000万元以下的为中小微型企业。其中，营业收入6000万元及以上，且资产总额5000万元及以上的为中型企业；营业收入300万元及以上，且资产总额300万元及以上的为小型企 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供应商需在项目电子化交易系统中按要求填写《响应函》完成承诺并进行电子签章。①、供应商须具备独立承担民事责任能力的法人、其他组织或自然人，提供营业执照/事业单位法人证书/ 非企业专业服务机构执业许可证/自然人身份证；②、依法缴纳税收和社会保障资金的良好记录。依法缴纳税收的良好记录（提供截止至磋商时间前12个月 内任一月份的缴费凭据,依法免税的单位应提供相关证明材料）；依法缴纳社会保障资金的良好记录 (提供截止至磋商时间前12个月内任一月份的缴费凭据或社保机构开具的社会保险参保缴费情况证明，依法不需要缴纳社会保障资金的单位应提供相关证明材料）；③、供应商参加政府采购活动前3年内在经营活动中没有重大违法记录的书面声明；④、提供具有履行合同所必需的设备和专业技术能力的承诺</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供应商需在项目电子化交易系统中按要求上传相应证明文件并进行电子签章。须提供2024年度财务报告；或其基本开户银行出具的资信证明；或磋商担保函（以上三种形式的资料提供任何一种即可）</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供应商需在项目电子化交易系统中按要求填写《响应函》完成承诺并进行电子签章。提供控股管理关系说明：若与其他投标人存在单位负责人为同一人或者存在直接控股、管理关系的，则投标无效。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法定代表人授权书及被授权人身份证（法定代表人直接参加磋商的须提供其法定代表人身份证，被授权人参加磋商的须出具法定代表人授权书）。</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供应商须具有建设行政主管部门颁发的市政公用工程施工总承包二级及以上资质，且具备有效的安全生产许可证。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拟派的项目负责人须为本单位注册的市政公用工程专业二级及以上注册建造师证书和安全生产考核合格证（建安 B 证），且无在建工程（提供承诺书）。</w:t>
            </w:r>
          </w:p>
        </w:tc>
        <w:tc>
          <w:tcPr>
            <w:tcW w:type="dxa" w:w="1661"/>
          </w:tcPr>
          <w:p>
            <w:pPr>
              <w:pStyle w:val="null3"/>
            </w:pPr>
            <w:r>
              <w:rPr>
                <w:rFonts w:ascii="仿宋_GB2312" w:hAnsi="仿宋_GB2312" w:cs="仿宋_GB2312" w:eastAsia="仿宋_GB2312"/>
              </w:rPr>
              <w:t>项目管理机构组成表 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信息查询</w:t>
            </w:r>
          </w:p>
        </w:tc>
        <w:tc>
          <w:tcPr>
            <w:tcW w:type="dxa" w:w="3322"/>
          </w:tcPr>
          <w:p>
            <w:pPr>
              <w:pStyle w:val="null3"/>
            </w:pPr>
            <w:r>
              <w:rPr>
                <w:rFonts w:ascii="仿宋_GB2312" w:hAnsi="仿宋_GB2312" w:cs="仿宋_GB2312" w:eastAsia="仿宋_GB2312"/>
              </w:rPr>
              <w:t>供应商基本信息及项目经理基本信息在”陕西省住房和城乡建设厅（http://js.shaanxi.gov.cn/）”可查询。外省进陕施工企业须提供陕西省住房和城乡建设厅官网企业库外省进陕施工企业信息首页截图。</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磋商内容、响应文件的签署、盖章、磋商报价、磋商有效期、工期</w:t>
            </w:r>
          </w:p>
        </w:tc>
        <w:tc>
          <w:tcPr>
            <w:tcW w:type="dxa" w:w="3322"/>
          </w:tcPr>
          <w:p>
            <w:pPr>
              <w:pStyle w:val="null3"/>
            </w:pPr>
            <w:r>
              <w:rPr>
                <w:rFonts w:ascii="仿宋_GB2312" w:hAnsi="仿宋_GB2312" w:cs="仿宋_GB2312" w:eastAsia="仿宋_GB2312"/>
              </w:rPr>
              <w:t>1、磋商内容是否完整； 2、响应文件的签署、盖章是否按要求签字、盖章； 3、磋商报价是否唯一，且没有超过最高限价；4、磋商有效期是否满足要求；5、工期是否满足要求</w:t>
            </w:r>
          </w:p>
        </w:tc>
        <w:tc>
          <w:tcPr>
            <w:tcW w:type="dxa" w:w="1661"/>
          </w:tcPr>
          <w:p>
            <w:pPr>
              <w:pStyle w:val="null3"/>
            </w:pPr>
            <w:r>
              <w:rPr>
                <w:rFonts w:ascii="仿宋_GB2312" w:hAnsi="仿宋_GB2312" w:cs="仿宋_GB2312" w:eastAsia="仿宋_GB2312"/>
              </w:rPr>
              <w:t>施工组织设计.pdf 已标价工程量清单 中小企业声明函 服务、技术及其他商务应答表.pdf 强制优先采购产品承诺函 响应文件封面 拒绝政府采购领域商业贿赂承诺书.pdf 项目管理机构组成表 残疾人福利性单位声明函 报价函 标的清单 供应商类似项目业绩一览表 响应函 资格证明文件.pdf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施工组织安排合理、施工部署全面有效、施工工艺先进： （1）内容完整、方案科学、措施合理得(3.5-5.0分]； （2）内容较完整或方案较科学或措施较合理得(2.0-3.5分]； （3）内容不完整或方案不科学或措施不合理得(0-2.0分]；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质量目标符合投标要求，并有详细可靠的质量保证管理制度及措施：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有详细合理可行的安全施工管理制度及措施：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有详细合理可行的文明施工、降低环境污染的管理制度及措施： （1）内容完整、措施合理得(3.5-5.0分]； （2）内容基本完整、措施比较合理得(2.0-3.5分]； （3）内容不够完整、措施 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确保工期的技术组织措施和进度计划</w:t>
            </w:r>
          </w:p>
        </w:tc>
        <w:tc>
          <w:tcPr>
            <w:tcW w:type="dxa" w:w="2492"/>
          </w:tcPr>
          <w:p>
            <w:pPr>
              <w:pStyle w:val="null3"/>
            </w:pPr>
            <w:r>
              <w:rPr>
                <w:rFonts w:ascii="仿宋_GB2312" w:hAnsi="仿宋_GB2312" w:cs="仿宋_GB2312" w:eastAsia="仿宋_GB2312"/>
              </w:rPr>
              <w:t>施工进度安排、主要材料的供应合理，确保按期完工：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施工机械设施齐全，性能指标及材料投入能够满足项目要求。根据证明材料进行赋分： （1）提供的证明材料齐全，满足项目要求度高，得(3.5-5.0分]； （2）提供的证明材料缺项，满足项目要求度一般，得(2.0-3.5分]； （3）提供的证明材料缺项严重，不满足项目要求，得(0-2.0分]；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（1）人员安排计划科学合理、内容具体完整、针对性强，得(3.5-5.0分]； （2）安排计划基本合理 、具有一定针对性计，得(2.0-3.5分]； （3）安排计划，内容不够全面，实施性不强计，得(0-2.0分]；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施工进度网络图或施工进度表</w:t>
            </w:r>
          </w:p>
        </w:tc>
        <w:tc>
          <w:tcPr>
            <w:tcW w:type="dxa" w:w="2492"/>
          </w:tcPr>
          <w:p>
            <w:pPr>
              <w:pStyle w:val="null3"/>
            </w:pPr>
            <w:r>
              <w:rPr>
                <w:rFonts w:ascii="仿宋_GB2312" w:hAnsi="仿宋_GB2312" w:cs="仿宋_GB2312" w:eastAsia="仿宋_GB2312"/>
              </w:rPr>
              <w:t>（1）网络图或进度表内容详尽、安排合理且实施性强，得(3.5-5.0分]； （2）提供网络图或进度表内容、安排基本合理实施性缺乏，得(2.0-3.5分]； （3）提供网络图或进度表，内容不够全面，实施性不强，得(0-2.0分]；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项目组成人员</w:t>
            </w:r>
          </w:p>
        </w:tc>
        <w:tc>
          <w:tcPr>
            <w:tcW w:type="dxa" w:w="2492"/>
          </w:tcPr>
          <w:p>
            <w:pPr>
              <w:pStyle w:val="null3"/>
            </w:pPr>
            <w:r>
              <w:rPr>
                <w:rFonts w:ascii="仿宋_GB2312" w:hAnsi="仿宋_GB2312" w:cs="仿宋_GB2312" w:eastAsia="仿宋_GB2312"/>
              </w:rPr>
              <w:t>人员配备合理、全面、有效： （1）项目管理机构配备人员完整、岗位合理、职能分工明确，得(3.5-5.0分]； （2）项目管理机构配备人员较完整或岗位较合理或职能分工较明确，得(2.0-3.5分]； （3）项目管理机构配备人员严重不完整或岗位不合理或职能分工不明确，得(0-2.0分]；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施工现场扬尘预防措施</w:t>
            </w:r>
          </w:p>
        </w:tc>
        <w:tc>
          <w:tcPr>
            <w:tcW w:type="dxa" w:w="2492"/>
          </w:tcPr>
          <w:p>
            <w:pPr>
              <w:pStyle w:val="null3"/>
            </w:pPr>
            <w:r>
              <w:rPr>
                <w:rFonts w:ascii="仿宋_GB2312" w:hAnsi="仿宋_GB2312" w:cs="仿宋_GB2312" w:eastAsia="仿宋_GB2312"/>
              </w:rPr>
              <w:t>针对施工现场环境，提出的扬尘预防措施科学、合理、有效。 （1）内容完整、措施合理，得(3.5-5.0分]； （2）内容基本完整、措施比较合理，得(2.0-3.5分]； （3）内容不够完整、措施欠合理，得(0-2.0分]；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半成品及成品保护措施</w:t>
            </w:r>
          </w:p>
        </w:tc>
        <w:tc>
          <w:tcPr>
            <w:tcW w:type="dxa" w:w="2492"/>
          </w:tcPr>
          <w:p>
            <w:pPr>
              <w:pStyle w:val="null3"/>
            </w:pPr>
            <w:r>
              <w:rPr>
                <w:rFonts w:ascii="仿宋_GB2312" w:hAnsi="仿宋_GB2312" w:cs="仿宋_GB2312" w:eastAsia="仿宋_GB2312"/>
              </w:rPr>
              <w:t>（1）半成品及成品保护措施制度健全、措施完善，得(3.5-5.0分]； （2）基本健全，得(2.0-3.5分]； （3）不够完善，得(0-2.0分]；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应急预案的承诺情况以及合理化建议</w:t>
            </w:r>
          </w:p>
        </w:tc>
        <w:tc>
          <w:tcPr>
            <w:tcW w:type="dxa" w:w="2492"/>
          </w:tcPr>
          <w:p>
            <w:pPr>
              <w:pStyle w:val="null3"/>
            </w:pPr>
            <w:r>
              <w:rPr>
                <w:rFonts w:ascii="仿宋_GB2312" w:hAnsi="仿宋_GB2312" w:cs="仿宋_GB2312" w:eastAsia="仿宋_GB2312"/>
              </w:rPr>
              <w:t>（1）应急方案内容完整、条例清晰，科学可行，得(3.5-5.0分]； （2）应急方案内容基本完整、条例比较清晰，得(2.0-3.5分]； （3）方案内容简单、条例不够清晰，得(0-2.0分]；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施工组织设计.pdf</w:t>
            </w:r>
          </w:p>
        </w:tc>
      </w:tr>
      <w:tr>
        <w:tc>
          <w:tcPr>
            <w:tcW w:type="dxa" w:w="831"/>
            <w:vMerge/>
          </w:tcPr>
          <w:p/>
        </w:tc>
        <w:tc>
          <w:tcPr>
            <w:tcW w:type="dxa" w:w="1661"/>
          </w:tcPr>
          <w:p>
            <w:pPr>
              <w:pStyle w:val="null3"/>
            </w:pPr>
            <w:r>
              <w:rPr>
                <w:rFonts w:ascii="仿宋_GB2312" w:hAnsi="仿宋_GB2312" w:cs="仿宋_GB2312" w:eastAsia="仿宋_GB2312"/>
              </w:rPr>
              <w:t>工程质量和质量保修承诺</w:t>
            </w:r>
          </w:p>
        </w:tc>
        <w:tc>
          <w:tcPr>
            <w:tcW w:type="dxa" w:w="2492"/>
          </w:tcPr>
          <w:p>
            <w:pPr>
              <w:pStyle w:val="null3"/>
            </w:pPr>
            <w:r>
              <w:rPr>
                <w:rFonts w:ascii="仿宋_GB2312" w:hAnsi="仿宋_GB2312" w:cs="仿宋_GB2312" w:eastAsia="仿宋_GB2312"/>
              </w:rPr>
              <w:t>（1）承诺方案专门针对本项目编制，符合项目实际情况及实施要求，内容详尽且涵盖角度全面，合理性和可行性强，保障充分，得（3.5-5.0分]； （2）承诺方案内容基本能够针对本项目编制，基本符合项目实际情况及实施要求，内容较详细，涵盖角度较全面，基本合理可行的，得（2.0-3.5分]； （3）具有承诺内容但内容未贴合本项目，承诺内容涵盖角度 不全面且实施有难度的，得（0-2.0分]； （4）未提供不得分；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施工组织设计.pdf</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供应商提供2022年11月至今类似项目业绩，须提供合同或中标（成交）通知书作为业绩证明，每提供一份业绩加1分，共5分。（以合同签订日期为准或以成交（中标 ) 通知书发出时间为准） 注：在响应文件中须附合同或（成交）中标通知书的清晰复印件，弄虚作假者，取消其投标资格。</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价格分采用低价优先法计算，即满足磋商文件要求且磋商报价最低的磋商报价为评审基准价，其价格分为满分。其他供应商的磋商报价统一按照下列公式计算： 磋商报价得分=（磋商基准价/最后磋商报价）×价格权值×100 注：磋商小组三分之二以上成员认为某磋商报价有低于成本价嫌疑的，涉嫌不正当竞争的，为无效报价。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详见附件：施工组织设计.pdf</w:t>
      </w:r>
    </w:p>
    <w:p>
      <w:pPr>
        <w:pStyle w:val="null3"/>
        <w:ind w:firstLine="960"/>
      </w:pPr>
      <w:r>
        <w:rPr>
          <w:rFonts w:ascii="仿宋_GB2312" w:hAnsi="仿宋_GB2312" w:cs="仿宋_GB2312" w:eastAsia="仿宋_GB2312"/>
        </w:rPr>
        <w:t>详见附件：服务、技术及其他商务应答表.pdf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详见附件：合同(南长巷).docx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