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Toc18088"/>
      <w:bookmarkStart w:id="1" w:name="_Toc7963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服务承诺</w:t>
      </w:r>
      <w:bookmarkEnd w:id="0"/>
      <w:bookmarkEnd w:id="1"/>
    </w:p>
    <w:p>
      <w:pPr>
        <w:rPr>
          <w:rFonts w:hint="eastAsia" w:ascii="仿宋" w:hAnsi="仿宋" w:eastAsia="仿宋" w:cs="仿宋"/>
          <w:b/>
          <w:color w:val="000000"/>
          <w:sz w:val="24"/>
        </w:rPr>
      </w:pPr>
    </w:p>
    <w:p>
      <w:r>
        <w:rPr>
          <w:rFonts w:hint="eastAsia" w:ascii="仿宋" w:hAnsi="仿宋" w:eastAsia="仿宋" w:cs="仿宋"/>
          <w:b/>
          <w:bCs/>
          <w:color w:val="36363D"/>
          <w:sz w:val="24"/>
        </w:rPr>
        <w:t>格式自定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4F310B7A"/>
    <w:rsid w:val="4F31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陕西中技招标有限公司</cp:lastModifiedBy>
  <dcterms:modified xsi:type="dcterms:W3CDTF">2023-08-02T05:55:37Z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839551B04960456D849C4023D2AD62B0_11</vt:lpwstr>
  </property>
</Properties>
</file>