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版本号：LZBE2025-188720251206001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智慧黑板采购项目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LZBE2025-1887</w:t>
      </w:r>
      <w:r>
        <w:br/>
      </w:r>
      <w:r>
        <w:br/>
      </w:r>
      <w:r>
        <w:br/>
      </w:r>
    </w:p>
    <w:p>
      <w:pPr>
        <w:pStyle w:val="null3"/>
        <w:jc w:val="center"/>
        <w:outlineLvl w:val="2"/>
      </w:pPr>
      <w:r>
        <w:rPr>
          <w:rFonts w:ascii="仿宋_GB2312" w:hAnsi="仿宋_GB2312" w:cs="仿宋_GB2312" w:eastAsia="仿宋_GB2312"/>
          <w:sz w:val="28"/>
          <w:b/>
        </w:rPr>
        <w:t>西安市新城区新知小学</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西安市新城区新知小学</w:t>
      </w:r>
      <w:r>
        <w:rPr>
          <w:rFonts w:ascii="仿宋_GB2312" w:hAnsi="仿宋_GB2312" w:cs="仿宋_GB2312" w:eastAsia="仿宋_GB2312"/>
        </w:rPr>
        <w:t>委托，拟对</w:t>
      </w:r>
      <w:r>
        <w:rPr>
          <w:rFonts w:ascii="仿宋_GB2312" w:hAnsi="仿宋_GB2312" w:cs="仿宋_GB2312" w:eastAsia="仿宋_GB2312"/>
        </w:rPr>
        <w:t>智慧黑板采购项目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LZBE2025-1887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智慧黑板采购项目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本项目拟为西安市新城区新知小学购置智慧黑板一批，具体详见采购文件。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或者其他组织提供营业执照、事业单位法人证书等证明文件，自然人提供身份证件，供应商需在项目电子化交易系统中按要求上传相应证明文件并进行电子签章</w:t>
      </w:r>
    </w:p>
    <w:p>
      <w:pPr>
        <w:pStyle w:val="null3"/>
      </w:pPr>
      <w:r>
        <w:rPr>
          <w:rFonts w:ascii="仿宋_GB2312" w:hAnsi="仿宋_GB2312" w:cs="仿宋_GB2312" w:eastAsia="仿宋_GB2312"/>
        </w:rPr>
        <w:t>2、身份证明文件：法定代表人（单位负责人）授权委托书（附法定代表人（单位负责人）、被授权人身份证复印件及被授权人近三个月（开标时间前连续三个月（不含开标当月））社保缴纳的证明资料）（法定代表人（单位负责人）直接参加的，须提供法定代表人（单位负责人）身份证明书及身份证复印件且与营业执照上信息须一致），供应商需在项目电子化交易系统中按要求上传相应证明文件并进行电子签章</w:t>
      </w:r>
    </w:p>
    <w:p>
      <w:pPr>
        <w:pStyle w:val="null3"/>
      </w:pPr>
      <w:r>
        <w:rPr>
          <w:rFonts w:ascii="仿宋_GB2312" w:hAnsi="仿宋_GB2312" w:cs="仿宋_GB2312" w:eastAsia="仿宋_GB2312"/>
        </w:rPr>
        <w:t>3、税收缴纳凭证及社会保险缴纳的凭证：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并进行电子签章</w:t>
      </w:r>
    </w:p>
    <w:p>
      <w:pPr>
        <w:pStyle w:val="null3"/>
      </w:pPr>
      <w:r>
        <w:rPr>
          <w:rFonts w:ascii="仿宋_GB2312" w:hAnsi="仿宋_GB2312" w:cs="仿宋_GB2312" w:eastAsia="仿宋_GB2312"/>
        </w:rPr>
        <w:t>4、财务状况报告：供应商提供2024年度经审计的财务审计报告（事业法人可提供部门决算报告）；或提供开标日前三个月内基本存款账户银行出具的资信证明及基本存款账户银行相关证明资料；或提供专业担保机构出具的投标担保函，供应商需在项目电子化交易系统中按要求上传相应证明文件并进行电子签章</w:t>
      </w:r>
    </w:p>
    <w:p>
      <w:pPr>
        <w:pStyle w:val="null3"/>
      </w:pPr>
      <w:r>
        <w:rPr>
          <w:rFonts w:ascii="仿宋_GB2312" w:hAnsi="仿宋_GB2312" w:cs="仿宋_GB2312" w:eastAsia="仿宋_GB2312"/>
        </w:rPr>
        <w:t>5、参加政府采购活动前3年内在经营活动中没有重大违法记录的书面声明；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6、履行合同所必需的设备和专业技术能力书面声明函：具有履行合同所必需的设备和专业技术能力书面声明函，供应商需在项目电子化交易系统中按要求上传相应证明文件并进行电子签章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7、其他要求：单位负责人为同一人或者存在直接控股、管理关系的不同供应商不得参加同一合同项下的政府采购活动；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为本项目提供整体设计、规范编制或者项目管理、监理、检测等服务的供应商，不得再参加该采购项目的其他采购活动，供应商需在项目电子化交易系统中按要求上传相应证明文件并进行电子签章</w:t>
      </w:r>
    </w:p>
    <w:p>
      <w:pPr>
        <w:pStyle w:val="null3"/>
      </w:pPr>
      <w:r>
        <w:rPr>
          <w:rFonts w:ascii="仿宋_GB2312" w:hAnsi="仿宋_GB2312" w:cs="仿宋_GB2312" w:eastAsia="仿宋_GB2312"/>
        </w:rPr>
        <w:t>8、供应商信用状况：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网站查询结果为准</w:t>
      </w:r>
    </w:p>
    <w:p>
      <w:pPr>
        <w:pStyle w:val="null3"/>
      </w:pPr>
      <w:r>
        <w:rPr>
          <w:rFonts w:ascii="仿宋_GB2312" w:hAnsi="仿宋_GB2312" w:cs="仿宋_GB2312" w:eastAsia="仿宋_GB2312"/>
        </w:rPr>
        <w:t>9、本项目不接受联合体：本项目不允许联合体响应，供应商需在项目电子化交易系统中按要求上传相应证明文件并进行电子签章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西安市新城区新知小学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西安市新城区西七路199号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029-87262399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西安市太白南路181号西部电子社区A座A区501室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潘乐、孙承国、刘强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029-88228899-655.650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西安市新城区政府采购管理股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029-87438480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发的《招标代理服务收费管理暂行办法》（计价格[2002]1980号）和国家发展改革委员会办公厅颁发的《关于招标代理服务收费有关问题的通知》（发改办价格[2003]857号）的货物类有关规定收取。2、成交供应商在领取成交通知书之前，须向代理机构支付招标代理服务费。3、招标代理服务费以转账或现金形式缴纳至以下账户：开户名称：龙寰项目管理咨询有限公司，开户银行：平安银行西安高新路支行，账号：30201278017687</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西安市新城区新知小学</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西安市新城区新知小学</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达到国家及行业相关标准，满足采购人使用要求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联系人：潘乐、孙承国、刘强</w:t>
      </w:r>
    </w:p>
    <w:p>
      <w:pPr>
        <w:pStyle w:val="null3"/>
      </w:pPr>
      <w:r>
        <w:rPr>
          <w:rFonts w:ascii="仿宋_GB2312" w:hAnsi="仿宋_GB2312" w:cs="仿宋_GB2312" w:eastAsia="仿宋_GB2312"/>
        </w:rPr>
        <w:t>联系电话：029-88228899-655、650</w:t>
      </w:r>
    </w:p>
    <w:p>
      <w:pPr>
        <w:pStyle w:val="null3"/>
      </w:pPr>
      <w:r>
        <w:rPr>
          <w:rFonts w:ascii="仿宋_GB2312" w:hAnsi="仿宋_GB2312" w:cs="仿宋_GB2312" w:eastAsia="仿宋_GB2312"/>
        </w:rPr>
        <w:t>地址：西安市太白南路181号西部电子社区A座A区501室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本项目拟为西安市新城区新知小学购置智慧黑板一批，具体详见采购文件。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智慧黑板采购项目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标的名称：智慧黑板采购项目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一）、产品名称：智慧黑板（本项目核心产品）（数量：</w:t>
            </w: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台）</w:t>
            </w:r>
          </w:p>
          <w:p>
            <w:pPr>
              <w:pStyle w:val="null3"/>
              <w:jc w:val="both"/>
            </w:pPr>
            <w:r>
              <w:rPr>
                <w:rFonts w:ascii="仿宋_GB2312" w:hAnsi="仿宋_GB2312" w:cs="仿宋_GB2312" w:eastAsia="仿宋_GB2312"/>
                <w:sz w:val="21"/>
              </w:rPr>
              <w:t>配置不低于：</w:t>
            </w:r>
          </w:p>
          <w:p>
            <w:pPr>
              <w:pStyle w:val="null3"/>
              <w:jc w:val="both"/>
            </w:pPr>
            <w:r>
              <w:rPr>
                <w:rFonts w:ascii="仿宋_GB2312" w:hAnsi="仿宋_GB2312" w:cs="仿宋_GB2312" w:eastAsia="仿宋_GB2312"/>
                <w:sz w:val="21"/>
              </w:rPr>
              <w:t>1.整机采用三段式一体化设计，无推拉结构，侧板由两块固定侧板组成，智慧屏须集成触摸显示屏、麦克风、扬声器、摄像机、硬件视音频编解码单元等部件，外观简洁，附带不少于2只磁吸式触控笔，可供老师上课随时取用。</w:t>
            </w:r>
          </w:p>
          <w:p>
            <w:pPr>
              <w:pStyle w:val="null3"/>
              <w:jc w:val="both"/>
            </w:pPr>
            <w:r>
              <w:rPr>
                <w:rFonts w:ascii="仿宋_GB2312" w:hAnsi="仿宋_GB2312" w:cs="仿宋_GB2312" w:eastAsia="仿宋_GB2312"/>
                <w:sz w:val="21"/>
              </w:rPr>
              <w:t>2.设备液晶屏显示尺寸≥86英寸，采用零贴合、红外感应技术，A规屏，色域≥85%NTSC，屏幕亮度≥350cd/m²，亮度对比度≥1200:1，亮度均匀性≥70%，无闪烁，闪烁等级≤-30db(60Hz)， 亮度垂直可视角度≥60°，亮度水平可视角度≥120°，采用物理防蓝光，蓝光防护等级达到RG0。（提供相关部门出具的检测报告）</w:t>
            </w:r>
          </w:p>
          <w:p>
            <w:pPr>
              <w:pStyle w:val="null3"/>
              <w:jc w:val="both"/>
            </w:pPr>
            <w:r>
              <w:rPr>
                <w:rFonts w:ascii="仿宋_GB2312" w:hAnsi="仿宋_GB2312" w:cs="仿宋_GB2312" w:eastAsia="仿宋_GB2312"/>
                <w:sz w:val="21"/>
              </w:rPr>
              <w:t>▲3.设备配置鸿蒙、麒麟、统信等国产化操作系统，国产CPU：核数≥8核，内存≥12GB且硬盘≥128GB，可实现windows系统中常用的教学应用功能，如白板、投屏、网页浏览、播放器、办公软件等，支持系统在线升级。（提供相关部门出具的检测报告）</w:t>
            </w:r>
          </w:p>
          <w:p>
            <w:pPr>
              <w:pStyle w:val="null3"/>
              <w:jc w:val="both"/>
            </w:pPr>
            <w:r>
              <w:rPr>
                <w:rFonts w:ascii="仿宋_GB2312" w:hAnsi="仿宋_GB2312" w:cs="仿宋_GB2312" w:eastAsia="仿宋_GB2312"/>
                <w:sz w:val="21"/>
              </w:rPr>
              <w:t>4.设备须内置无线网卡，支持在内置系统下接入2.4G/5G双频无线网络，提供AP、Station工作模式，且支持AP&amp;Station两种工作模式同时工作，在接入到无线网络的同时，也可以作为热点允许其他设备连接，工作距离≥20米。</w:t>
            </w:r>
          </w:p>
          <w:p>
            <w:pPr>
              <w:pStyle w:val="null3"/>
              <w:jc w:val="both"/>
            </w:pPr>
            <w:r>
              <w:rPr>
                <w:rFonts w:ascii="仿宋_GB2312" w:hAnsi="仿宋_GB2312" w:cs="仿宋_GB2312" w:eastAsia="仿宋_GB2312"/>
                <w:sz w:val="21"/>
              </w:rPr>
              <w:t>▲5.内置一体化摄像头，摄像头像素≥4800W，对角线视场角≥135°，水平视场角≥120°，无需对焦可实现0.5米-20米的清晰画面；采用针孔阵列发声设计，提供≥4个喇叭单元，喇叭模组总功率≥30W，频响范围100Hz-20KHz；设备内置≥6个非独立外扩展的麦克风，拾音距离大于8米。（提供相关部门出具的检测报告）</w:t>
            </w:r>
          </w:p>
          <w:p>
            <w:pPr>
              <w:pStyle w:val="null3"/>
              <w:jc w:val="both"/>
            </w:pPr>
            <w:r>
              <w:rPr>
                <w:rFonts w:ascii="仿宋_GB2312" w:hAnsi="仿宋_GB2312" w:cs="仿宋_GB2312" w:eastAsia="仿宋_GB2312"/>
                <w:sz w:val="21"/>
              </w:rPr>
              <w:t>6.设备采用简洁化设计，前面板独立物理按钮数量≤1，须实现包括但不限于开机、关机、息屏、唤醒的功能，提供主页面应用程序快捷栏，可设置≥6个快捷应用，并可以根据教学需求随意替换。</w:t>
            </w:r>
          </w:p>
          <w:p>
            <w:pPr>
              <w:pStyle w:val="null3"/>
              <w:jc w:val="both"/>
            </w:pPr>
            <w:r>
              <w:rPr>
                <w:rFonts w:ascii="仿宋_GB2312" w:hAnsi="仿宋_GB2312" w:cs="仿宋_GB2312" w:eastAsia="仿宋_GB2312"/>
                <w:sz w:val="21"/>
              </w:rPr>
              <w:t>7.在任意信号源通道下，支持两侧悬浮按钮，操作者可通过悬浮按钮进行系统间切换，手动调节屏幕亮度和声音，支持查看所有正在运行的任务，快速切换当前任务。</w:t>
            </w:r>
          </w:p>
          <w:p>
            <w:pPr>
              <w:pStyle w:val="null3"/>
              <w:jc w:val="both"/>
            </w:pPr>
            <w:r>
              <w:rPr>
                <w:rFonts w:ascii="仿宋_GB2312" w:hAnsi="仿宋_GB2312" w:cs="仿宋_GB2312" w:eastAsia="仿宋_GB2312"/>
                <w:sz w:val="21"/>
              </w:rPr>
              <w:t>▲8.支持多种投屏方式及投屏协议，投屏时须支持勿扰模式，微信或其它APP弹窗消息无法投屏到终端上。（提供相关部门出具的检测报告）</w:t>
            </w:r>
          </w:p>
          <w:p>
            <w:pPr>
              <w:pStyle w:val="null3"/>
              <w:jc w:val="both"/>
            </w:pPr>
            <w:r>
              <w:rPr>
                <w:rFonts w:ascii="仿宋_GB2312" w:hAnsi="仿宋_GB2312" w:cs="仿宋_GB2312" w:eastAsia="仿宋_GB2312"/>
                <w:sz w:val="21"/>
              </w:rPr>
              <w:t>9.设备须内置白板，支持≥2种书写笔头，书写延时≤20ms，书写完成后支持本地保存、邮件分享、浏览器等主流应用扫码带走功能，方便老师实时保存课堂书写内容。</w:t>
            </w:r>
          </w:p>
          <w:p>
            <w:pPr>
              <w:pStyle w:val="null3"/>
              <w:jc w:val="both"/>
            </w:pPr>
            <w:r>
              <w:rPr>
                <w:rFonts w:ascii="仿宋_GB2312" w:hAnsi="仿宋_GB2312" w:cs="仿宋_GB2312" w:eastAsia="仿宋_GB2312"/>
                <w:sz w:val="21"/>
              </w:rPr>
              <w:t>10.设备内置操作系统下，须支持多应用分屏功能，系统中可同时分屏显示不少于两个应用，支持通过拖拉改变窗口大小。如一侧白板，一侧打开网页，可以通过拖拉调节分割线以改变窗口大小，方便一边书写一边查看资料。</w:t>
            </w:r>
          </w:p>
          <w:p>
            <w:pPr>
              <w:pStyle w:val="null3"/>
              <w:jc w:val="both"/>
            </w:pPr>
            <w:r>
              <w:rPr>
                <w:rFonts w:ascii="仿宋_GB2312" w:hAnsi="仿宋_GB2312" w:cs="仿宋_GB2312" w:eastAsia="仿宋_GB2312"/>
                <w:sz w:val="21"/>
              </w:rPr>
              <w:t>▲11.须支持断点续传功能，如设备升级过程中发生网络中断、断电重启的情况，网络、供电恢复后可断点续传，避免升级失败。（提供相关部门出具的检测报告）</w:t>
            </w:r>
          </w:p>
          <w:p>
            <w:pPr>
              <w:pStyle w:val="null3"/>
              <w:jc w:val="both"/>
            </w:pPr>
            <w:r>
              <w:rPr>
                <w:rFonts w:ascii="仿宋_GB2312" w:hAnsi="仿宋_GB2312" w:cs="仿宋_GB2312" w:eastAsia="仿宋_GB2312"/>
                <w:sz w:val="21"/>
              </w:rPr>
              <w:t>12.设备须支持外接使用OPS下的操作系统，提供标准模块化电脑（OPS）通用的80针接口。</w:t>
            </w:r>
          </w:p>
          <w:p>
            <w:pPr>
              <w:pStyle w:val="null3"/>
              <w:jc w:val="both"/>
            </w:pPr>
            <w:r>
              <w:rPr>
                <w:rFonts w:ascii="仿宋_GB2312" w:hAnsi="仿宋_GB2312" w:cs="仿宋_GB2312" w:eastAsia="仿宋_GB2312"/>
                <w:sz w:val="21"/>
              </w:rPr>
              <w:t>13.设备须具有以下无转接前置接口：≥1*Type-C、≥2*USB Type-A。前置接口需采用隐藏式设计，具有翻转式防护盖板，盖板开合角度≥90°。侧置须具有以下无转接接口：≥2*HDMI IN、≥1*HDMI OUT、≥1*MIC IN、≥1路MIC OUT、≥1*RJ45、≥1*控制串口（须支持RS232控制协议）、≥3*USB Type-A、 ≥1*USB Type-B。（提供相关部门出具的检测报告）</w:t>
            </w:r>
          </w:p>
          <w:p>
            <w:pPr>
              <w:pStyle w:val="null3"/>
              <w:jc w:val="both"/>
            </w:pPr>
            <w:r>
              <w:rPr>
                <w:rFonts w:ascii="仿宋_GB2312" w:hAnsi="仿宋_GB2312" w:cs="仿宋_GB2312" w:eastAsia="仿宋_GB2312"/>
                <w:sz w:val="21"/>
              </w:rPr>
              <w:t>▲14.无需借助OPS模块，设备内置自检维护工具，可一键进行快速自检，也可以对硬件类、投屏类、白板类、应用市场类等单个模块进行检测，针对不同模块给出问题原因提示，检测完成后支持导出诊断报告。（提供相关部门出具的检测报告）</w:t>
            </w:r>
          </w:p>
          <w:p>
            <w:pPr>
              <w:pStyle w:val="null3"/>
              <w:jc w:val="both"/>
            </w:pPr>
            <w:r>
              <w:rPr>
                <w:rFonts w:ascii="仿宋_GB2312" w:hAnsi="仿宋_GB2312" w:cs="仿宋_GB2312" w:eastAsia="仿宋_GB2312"/>
                <w:sz w:val="21"/>
              </w:rPr>
              <w:t>15.设备内置白板须支持文字和图形智能识别功能，可将手写体识别为标准打印体，支持中英文识别。设备自带上述智能识别能力，可在断网状态下实现上述操作。</w:t>
            </w:r>
          </w:p>
          <w:p>
            <w:pPr>
              <w:pStyle w:val="null3"/>
              <w:jc w:val="both"/>
            </w:pPr>
            <w:r>
              <w:rPr>
                <w:rFonts w:ascii="仿宋_GB2312" w:hAnsi="仿宋_GB2312" w:cs="仿宋_GB2312" w:eastAsia="仿宋_GB2312"/>
                <w:sz w:val="21"/>
              </w:rPr>
              <w:t>16.支持通过同品牌投屏软件进行音视频投屏共享。支持跨网投屏，无需扫描二维码或输入终端IP地址且无需设备在同一局域网中，可直接通过输入投屏码实现投屏。（提供相关部门出具的检测报告）</w:t>
            </w:r>
          </w:p>
          <w:p>
            <w:pPr>
              <w:pStyle w:val="null3"/>
              <w:jc w:val="both"/>
            </w:pPr>
            <w:r>
              <w:rPr>
                <w:rFonts w:ascii="仿宋_GB2312" w:hAnsi="仿宋_GB2312" w:cs="仿宋_GB2312" w:eastAsia="仿宋_GB2312"/>
                <w:sz w:val="21"/>
              </w:rPr>
              <w:t>17.在无外接OPS电脑状态下，设备须提供包括但不限于欢迎屏、壁纸、信息窗等小工具，教师也可在班会、家长会等场景下自定义展示内容，也可使用设备自带模板。</w:t>
            </w:r>
          </w:p>
          <w:p>
            <w:pPr>
              <w:pStyle w:val="null3"/>
              <w:jc w:val="both"/>
            </w:pPr>
            <w:r>
              <w:rPr>
                <w:rFonts w:ascii="仿宋_GB2312" w:hAnsi="仿宋_GB2312" w:cs="仿宋_GB2312" w:eastAsia="仿宋_GB2312"/>
                <w:sz w:val="21"/>
              </w:rPr>
              <w:t>18.两侧侧板采用红外感应可实现智能书写，并实现电子化，左右副板采用下侧居中笔拖结构；采用纳米书写板面，可采用粉笔等进行书写；板面耐磨、易擦，用干布或板擦擦拭即可，兼容鸿蒙、麒麟、统信等国产化操作系统。（提供主要功能截图）</w:t>
            </w:r>
          </w:p>
          <w:p>
            <w:pPr>
              <w:pStyle w:val="null3"/>
              <w:jc w:val="both"/>
            </w:pPr>
            <w:r>
              <w:rPr>
                <w:rFonts w:ascii="仿宋_GB2312" w:hAnsi="仿宋_GB2312" w:cs="仿宋_GB2312" w:eastAsia="仿宋_GB2312"/>
                <w:sz w:val="21"/>
              </w:rPr>
              <w:t>19.功能键：双侧板面提供上下居中的快捷键，可以进行书写内容预览、板书上下页翻页、红、白、黄三色笔迹选择、扫码分享、投票、一键清屏等快捷按键。</w:t>
            </w:r>
          </w:p>
          <w:p>
            <w:pPr>
              <w:pStyle w:val="null3"/>
              <w:jc w:val="both"/>
            </w:pPr>
            <w:r>
              <w:rPr>
                <w:rFonts w:ascii="仿宋_GB2312" w:hAnsi="仿宋_GB2312" w:cs="仿宋_GB2312" w:eastAsia="仿宋_GB2312"/>
                <w:sz w:val="21"/>
              </w:rPr>
              <w:t>20.互联黑板支持快速投票功能，在互联黑板端可以对某个题目或问题进行快速投票，投票支持单项投票、多项投票或表决等三种模式，用户可以在显示端通过扫描二维码进行快速投票，在投票的过程中参入投票者的无需下载安装专用软件，对于投票的结果系统自动统计数据并展示。</w:t>
            </w:r>
          </w:p>
          <w:p>
            <w:pPr>
              <w:pStyle w:val="null3"/>
              <w:jc w:val="both"/>
            </w:pPr>
            <w:r>
              <w:rPr>
                <w:rFonts w:ascii="仿宋_GB2312" w:hAnsi="仿宋_GB2312" w:cs="仿宋_GB2312" w:eastAsia="仿宋_GB2312"/>
                <w:sz w:val="21"/>
              </w:rPr>
              <w:t>21.WIFI支持802.11 a/b/g/n/e/ac，支持Wifi AP+Station同时使用（2.4G&amp;5G），支持Bluetooth4.0及以上，支持wifi和蓝牙可以同时使用。</w:t>
            </w:r>
          </w:p>
          <w:p>
            <w:pPr>
              <w:pStyle w:val="null3"/>
            </w:pPr>
            <w:r>
              <w:rPr>
                <w:rFonts w:ascii="仿宋_GB2312" w:hAnsi="仿宋_GB2312" w:cs="仿宋_GB2312" w:eastAsia="仿宋_GB2312"/>
                <w:sz w:val="21"/>
              </w:rPr>
              <w:t>22.独立非外扩展的电脑接口:1</w:t>
            </w:r>
            <w:r>
              <w:rPr>
                <w:rFonts w:ascii="仿宋_GB2312" w:hAnsi="仿宋_GB2312" w:cs="仿宋_GB2312" w:eastAsia="仿宋_GB2312"/>
                <w:sz w:val="21"/>
              </w:rPr>
              <w:t>×</w:t>
            </w:r>
            <w:r>
              <w:rPr>
                <w:rFonts w:ascii="仿宋_GB2312" w:hAnsi="仿宋_GB2312" w:cs="仿宋_GB2312" w:eastAsia="仿宋_GB2312"/>
                <w:sz w:val="21"/>
              </w:rPr>
              <w:t>USB2.0 Type-C , 2</w:t>
            </w:r>
            <w:r>
              <w:rPr>
                <w:rFonts w:ascii="仿宋_GB2312" w:hAnsi="仿宋_GB2312" w:cs="仿宋_GB2312" w:eastAsia="仿宋_GB2312"/>
                <w:sz w:val="21"/>
              </w:rPr>
              <w:t>×</w:t>
            </w:r>
            <w:r>
              <w:rPr>
                <w:rFonts w:ascii="仿宋_GB2312" w:hAnsi="仿宋_GB2312" w:cs="仿宋_GB2312" w:eastAsia="仿宋_GB2312"/>
                <w:sz w:val="21"/>
              </w:rPr>
              <w:t>USB 2.0 ，4</w:t>
            </w:r>
            <w:r>
              <w:rPr>
                <w:rFonts w:ascii="仿宋_GB2312" w:hAnsi="仿宋_GB2312" w:cs="仿宋_GB2312" w:eastAsia="仿宋_GB2312"/>
                <w:sz w:val="21"/>
              </w:rPr>
              <w:t>×</w:t>
            </w:r>
            <w:r>
              <w:rPr>
                <w:rFonts w:ascii="仿宋_GB2312" w:hAnsi="仿宋_GB2312" w:cs="仿宋_GB2312" w:eastAsia="仿宋_GB2312"/>
                <w:sz w:val="21"/>
              </w:rPr>
              <w:t>USB 3.0/1</w:t>
            </w:r>
            <w:r>
              <w:rPr>
                <w:rFonts w:ascii="仿宋_GB2312" w:hAnsi="仿宋_GB2312" w:cs="仿宋_GB2312" w:eastAsia="仿宋_GB2312"/>
                <w:sz w:val="21"/>
              </w:rPr>
              <w:t>×</w:t>
            </w:r>
            <w:r>
              <w:rPr>
                <w:rFonts w:ascii="仿宋_GB2312" w:hAnsi="仿宋_GB2312" w:cs="仿宋_GB2312" w:eastAsia="仿宋_GB2312"/>
                <w:sz w:val="21"/>
              </w:rPr>
              <w:t>HDMI /1</w:t>
            </w:r>
            <w:r>
              <w:rPr>
                <w:rFonts w:ascii="仿宋_GB2312" w:hAnsi="仿宋_GB2312" w:cs="仿宋_GB2312" w:eastAsia="仿宋_GB2312"/>
                <w:sz w:val="21"/>
              </w:rPr>
              <w:t>×</w:t>
            </w:r>
            <w:r>
              <w:rPr>
                <w:rFonts w:ascii="仿宋_GB2312" w:hAnsi="仿宋_GB2312" w:cs="仿宋_GB2312" w:eastAsia="仿宋_GB2312"/>
                <w:sz w:val="21"/>
              </w:rPr>
              <w:t>RJ45；支持4K60HZ。</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二）、产品名称：备授软件（数量：</w:t>
            </w:r>
            <w:r>
              <w:rPr>
                <w:rFonts w:ascii="仿宋_GB2312" w:hAnsi="仿宋_GB2312" w:cs="仿宋_GB2312" w:eastAsia="仿宋_GB2312"/>
                <w:sz w:val="21"/>
              </w:rPr>
              <w:t>1</w:t>
            </w:r>
            <w:r>
              <w:rPr>
                <w:rFonts w:ascii="仿宋_GB2312" w:hAnsi="仿宋_GB2312" w:cs="仿宋_GB2312" w:eastAsia="仿宋_GB2312"/>
                <w:sz w:val="21"/>
              </w:rPr>
              <w:t>3套</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1.备课空间：提供教师个人备课网盘，空间不少于20G，并可按课件（PPT、图片、音频、Word、PDF、课堂活动等）、微课、板书等内容进行归类，方便快速查询网盘内的各类资源；</w:t>
            </w:r>
          </w:p>
          <w:p>
            <w:pPr>
              <w:pStyle w:val="null3"/>
              <w:jc w:val="both"/>
            </w:pPr>
            <w:r>
              <w:rPr>
                <w:rFonts w:ascii="仿宋_GB2312" w:hAnsi="仿宋_GB2312" w:cs="仿宋_GB2312" w:eastAsia="仿宋_GB2312"/>
                <w:sz w:val="21"/>
              </w:rPr>
              <w:t>2.备课插件：提供基于原生PPT与WPS的智能备课插件，非自有格式或嵌套式的备课工具，课件默认输出格式为PPT与WPS的默认格式，非专有格式，不改变教师传统备课习惯；</w:t>
            </w:r>
          </w:p>
          <w:p>
            <w:pPr>
              <w:pStyle w:val="null3"/>
              <w:jc w:val="both"/>
            </w:pPr>
            <w:r>
              <w:rPr>
                <w:rFonts w:ascii="仿宋_GB2312" w:hAnsi="仿宋_GB2312" w:cs="仿宋_GB2312" w:eastAsia="仿宋_GB2312"/>
                <w:sz w:val="21"/>
              </w:rPr>
              <w:t>3.资源导入：支持备课资源与备课插件的无缝结合，方便将图片、视频、互动微件、3D、题库等一键插入到原生PPT/WPS内,并能按学段、学科、资源类型、知识点、关键字等关键信息搜索资源；</w:t>
            </w:r>
          </w:p>
          <w:p>
            <w:pPr>
              <w:pStyle w:val="null3"/>
              <w:jc w:val="both"/>
            </w:pPr>
            <w:r>
              <w:rPr>
                <w:rFonts w:ascii="仿宋_GB2312" w:hAnsi="仿宋_GB2312" w:cs="仿宋_GB2312" w:eastAsia="仿宋_GB2312"/>
                <w:sz w:val="21"/>
              </w:rPr>
              <w:t>4.网络资源：支持一键引入互联网链接资源，搜索链接后可一键将页面插入至PPT内，并能够在ppt播放状态下进行页面二次跳转；</w:t>
            </w:r>
          </w:p>
          <w:p>
            <w:pPr>
              <w:pStyle w:val="null3"/>
              <w:jc w:val="both"/>
            </w:pPr>
            <w:r>
              <w:rPr>
                <w:rFonts w:ascii="仿宋_GB2312" w:hAnsi="仿宋_GB2312" w:cs="仿宋_GB2312" w:eastAsia="仿宋_GB2312"/>
                <w:sz w:val="21"/>
              </w:rPr>
              <w:t>5.课堂活动：提供多类型课堂活动模板，如趣味分类、超级分类、翻翻卡、双人PK、连线题、猜词游戏、趣味素材、选词填空、选择题、判断题、比较大小、趣味检测、趣味拼词、思维导图（思维导图支持多类型模板，如经典思维、逻辑结构、彩色枝丫、鱼尾逻辑、发散思维、组织结构、目录组织、鱼骨图、天盘图，支持插入链接、图片、音视频、总结，导出为本地文件）等；</w:t>
            </w:r>
          </w:p>
          <w:p>
            <w:pPr>
              <w:pStyle w:val="null3"/>
              <w:jc w:val="both"/>
            </w:pPr>
            <w:r>
              <w:rPr>
                <w:rFonts w:ascii="仿宋_GB2312" w:hAnsi="仿宋_GB2312" w:cs="仿宋_GB2312" w:eastAsia="仿宋_GB2312"/>
                <w:sz w:val="21"/>
              </w:rPr>
              <w:t>6.学科工具：支持将学科工具如GGB、物理线图、化学线图、诗词卡片、函数、英文词典插入PPT；</w:t>
            </w:r>
          </w:p>
          <w:p>
            <w:pPr>
              <w:pStyle w:val="null3"/>
              <w:jc w:val="both"/>
            </w:pPr>
            <w:r>
              <w:rPr>
                <w:rFonts w:ascii="仿宋_GB2312" w:hAnsi="仿宋_GB2312" w:cs="仿宋_GB2312" w:eastAsia="仿宋_GB2312"/>
                <w:sz w:val="21"/>
              </w:rPr>
              <w:t>7.数据同步：支持备课资源同步更新，备课完成后将资源或课件一键同步上传至个人云盘（校本空间），保持数据同步；其中网盘存储的PPT类资源下载修改后支持自动同步云端。</w:t>
            </w:r>
          </w:p>
          <w:p>
            <w:pPr>
              <w:pStyle w:val="null3"/>
              <w:jc w:val="both"/>
            </w:pPr>
            <w:r>
              <w:rPr>
                <w:rFonts w:ascii="仿宋_GB2312" w:hAnsi="仿宋_GB2312" w:cs="仿宋_GB2312" w:eastAsia="仿宋_GB2312"/>
                <w:sz w:val="21"/>
              </w:rPr>
              <w:t>(二）授课中心</w:t>
            </w:r>
          </w:p>
          <w:p>
            <w:pPr>
              <w:pStyle w:val="null3"/>
              <w:jc w:val="both"/>
            </w:pPr>
            <w:r>
              <w:rPr>
                <w:rFonts w:ascii="仿宋_GB2312" w:hAnsi="仿宋_GB2312" w:cs="仿宋_GB2312" w:eastAsia="仿宋_GB2312"/>
                <w:sz w:val="21"/>
              </w:rPr>
              <w:t>1.课本授课：</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支持电子化教材授课，将校本统一教材、教辅资料、校本教材、经典阅读等资源按学科、年级、册别、出版社进行归类,供教师根据教学需求筛选使用；经典阅读支持按国别和分类进行自动归类，用于拓展阅读教学；</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同步资源：配套的教学资源一键下载并与教材知识点关联并内置于教材知识点对应位置，支持拖动至对应教材知识点任意位置；支持按资源名称快捷搜索相关资源，并能实现同步导入与编辑；资源类型包含：PPT、Word、PDF、视频、音频、图片、链接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3）授课课本支持单、双页模式预览，可放大至300%清晰标注，教师根据教学进度快速定位课本目录章节；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4）书架管理：支持教师自行导入课本，教师可编辑自己书架的课本对课本进行删除，支持通过课本名称检索所需课本；</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5）课本点读：语文、英语、音乐学科课本支持全文和单句点读，并支持自定义调节播放进度条，营造标准语言环境；</w:t>
            </w:r>
          </w:p>
          <w:p>
            <w:pPr>
              <w:pStyle w:val="null3"/>
              <w:jc w:val="both"/>
            </w:pPr>
            <w:r>
              <w:rPr>
                <w:rFonts w:ascii="仿宋_GB2312" w:hAnsi="仿宋_GB2312" w:cs="仿宋_GB2312" w:eastAsia="仿宋_GB2312"/>
                <w:sz w:val="21"/>
              </w:rPr>
              <w:t>2.白板授课：提供多学科主题模板（拼音田字格、田字格、米字格、四线格、坐标系、小方格、数学本、练习簿、日字格、五线谱、篮球场、足球场、白板等）,并可在白板任意位置进行原笔迹书写、批注、擦除、拖动等；笔迹支持选中移动、中英文识别、修改颜色、置顶、复制与删除；插入图片或截图到白板中，支持切换图片的锁定状态，即拖动板书内容时图片可以和板书同步移动或缩放，也可以图片位置和大小固定，板书内容移动或缩放，以适应不同的教学场景；支持多个图片同时分别处于锁定和解锁状态；支持将文档（PPT、word、Pdf）插入白板授课，插入白板后的文档类资源支持拖动、翻页、缩放，书写笔迹跟随移动，且支持保存，再次打开，笔迹仍然保留；支持将视频插入白板授课；白板内容均支持保存，跨终端调取云板书。</w:t>
            </w:r>
          </w:p>
          <w:p>
            <w:pPr>
              <w:pStyle w:val="null3"/>
              <w:jc w:val="both"/>
            </w:pPr>
            <w:r>
              <w:rPr>
                <w:rFonts w:ascii="仿宋_GB2312" w:hAnsi="仿宋_GB2312" w:cs="仿宋_GB2312" w:eastAsia="仿宋_GB2312"/>
                <w:sz w:val="21"/>
              </w:rPr>
              <w:t>3.课件授课：支持一键调取本机、个人网盘与学校网盘内的教学课件，并实现教学课件文档的手势识别（多级放大、滑动翻页等），支持查看课件缩略图进行快速定位，播放过程中可实现自由批注，笔迹内容与课件内容同步跟随；</w:t>
            </w:r>
          </w:p>
          <w:p>
            <w:pPr>
              <w:pStyle w:val="null3"/>
              <w:jc w:val="both"/>
            </w:pPr>
            <w:r>
              <w:rPr>
                <w:rFonts w:ascii="仿宋_GB2312" w:hAnsi="仿宋_GB2312" w:cs="仿宋_GB2312" w:eastAsia="仿宋_GB2312"/>
                <w:sz w:val="21"/>
              </w:rPr>
              <w:t>（三）应用中心</w:t>
            </w:r>
          </w:p>
          <w:p>
            <w:pPr>
              <w:pStyle w:val="null3"/>
              <w:jc w:val="both"/>
            </w:pPr>
            <w:r>
              <w:rPr>
                <w:rFonts w:ascii="仿宋_GB2312" w:hAnsi="仿宋_GB2312" w:cs="仿宋_GB2312" w:eastAsia="仿宋_GB2312"/>
                <w:sz w:val="21"/>
              </w:rPr>
              <w:t>1.教学书写：支持任意教学环境下（白板讲解、PPT讲解、视频播放等）进行全屏原笔迹书写，笔迹流畅无延迟并自带笔锋，完美高度还原粉笔书写体验与效果；</w:t>
            </w:r>
          </w:p>
          <w:p>
            <w:pPr>
              <w:pStyle w:val="null3"/>
              <w:jc w:val="both"/>
            </w:pPr>
            <w:r>
              <w:rPr>
                <w:rFonts w:ascii="仿宋_GB2312" w:hAnsi="仿宋_GB2312" w:cs="仿宋_GB2312" w:eastAsia="仿宋_GB2312"/>
                <w:sz w:val="21"/>
              </w:rPr>
              <w:t>2.讲解助手：提供画笔、板书图章、板擦（区域擦除、撤销、恢复、清空等，板擦大小可自由调整）、聚焦、放大镜、计时、录制视频、幕布等基础教学工具，其中聚焦功能实现图像增强、文字识别、高亮显示等，支持插入白板进行完整讲演或聚焦多个进行对比讲评；计时功能支持设置倒计时、正计时、时钟，多种场景满足教师授课需求，同时可设置全屏显示；幕布功能实现拖动黑色幕布遮盖的部分，可以在板书内容固定不动的情况下调整幕布遮盖的位置，也可以拖动幕布擦除后展露出的板书，在幕布位置固定不动的情况下，调整展露出的板书内容；</w:t>
            </w:r>
          </w:p>
          <w:p>
            <w:pPr>
              <w:pStyle w:val="null3"/>
              <w:jc w:val="both"/>
            </w:pPr>
            <w:r>
              <w:rPr>
                <w:rFonts w:ascii="仿宋_GB2312" w:hAnsi="仿宋_GB2312" w:cs="仿宋_GB2312" w:eastAsia="仿宋_GB2312"/>
                <w:sz w:val="21"/>
              </w:rPr>
              <w:t>3.基础学科工具：提供多学科的学科工具，包括通用工具、语文、数学、英语、化学、物理、音乐、体育等学科工具，如扫码传图、诗词卡片、拼音卡片、尺规、平面图形、立体图形、量角器、函数工具、算盘、计数器、数小棒、数学动图、仿真实验、构图助手、GeoGebra、立体截面、英文词典、字母卡片、报听写、物理器材、化学器材、音乐大师、运动等，支持工具匹配学科，可根据教师主教学科推荐相匹配的学科工具；</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1）扫码传图，支持使用微信扫描二维码传输图片至大屏，支持对图片进行批注，支持将图片插入白板，支持上传多张图片对比讲解，上传图片永久保存至个人云盘。</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尺规包括直角三角板、等腰直角三角板、直尺和圆规，尺规作图和平面图形支持角度和长度的数字标注，支持自由缩放、调整图形的比例大小，支持设置边框线条和颜色、设置图形填充颜色，支持对图形的任意拖动、复制等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3）平面图形支持教师进行画线、画图、标注、填充颜色等，为方便教师课堂教学，支持设置连续画线；</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4）立体图形支持多种展开模式，并可进行自由填充颜色、旋转、删除等操作；</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5）函数工具包括一次函数、二次函数、幂函数、指数函数、对数函数、三角函数等，支持手写识别，支持将函数插入白板，便捷教学；</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6）报听写支持按需选择单词进行考察，配合学生端可实现系统自动批改，实时反馈学生提交进度并生成分析报告，快速掌握学生单词掌握情况；</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7）化学仪器包括加热、计量、分离、收集、干燥等，物理仪器包括磁学、电学、光学、力学、热学、声学等；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8）音乐大师，包含琴键对应的音符、音名、唱名、曲谱，支持直接进行课堂演奏，播放曲库，仿真钢琴效果，助力教师讲授乐理知识；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9）运动支持播放运动口令视频，丰富室内体育课堂；</w:t>
            </w:r>
          </w:p>
          <w:p>
            <w:pPr>
              <w:pStyle w:val="null3"/>
              <w:jc w:val="both"/>
            </w:pPr>
            <w:r>
              <w:rPr>
                <w:rFonts w:ascii="仿宋_GB2312" w:hAnsi="仿宋_GB2312" w:cs="仿宋_GB2312" w:eastAsia="仿宋_GB2312"/>
                <w:sz w:val="21"/>
              </w:rPr>
              <w:t>4.学科资源应用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可视化资源调取：支持一键调取学科学可视化资源，方便教师日常授课，并包含如下知识点：小学数学（图形与几何、数与代数、统计与规律）、小学科学（生命科学、物质科学、地球与宇宙科学、技术与工程）、初中数学（代数、几何、函数、统计概率）、初中物理（声光热能、力与运动、电与磁）、初中化学（科学探究、身边的化学物质、物质的化学变化、化学与社会发展、物质构成的奥秘）、初中地理（自然地理、中国地理、世界地理）、初中生物（生物圈、植物、人体、动物与微生物、生命的延续）、高中数学（集合与常用逻辑用语、不等式、函数、导数、积分、三角函数与解三角形、平面向量、数列、立体几何、平面解析几何、计数原理与统计概率）、高中物理（力与运动、电与磁、原子物理、动量与能量）、高中化学（无机化学、实验化学、结构化学、化学反应原理、有机化学）、高中地理（自然地理、人文地理、区域地理）、高中生物（分子与细胞、遗传与进化、稳态与调节、生物与环境、生物技术与工程）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2）数学特色工具：动态数学画板GeoGebra，支持自建画板、校本画板和网络画板并附带搜索工具，GeoGebra中所绘制的函数及图形支持本地保存、云端保存、导入PPT等；</w:t>
            </w:r>
          </w:p>
          <w:p>
            <w:pPr>
              <w:pStyle w:val="null3"/>
              <w:jc w:val="both"/>
            </w:pPr>
            <w:r>
              <w:rPr>
                <w:rFonts w:ascii="仿宋_GB2312" w:hAnsi="仿宋_GB2312" w:cs="仿宋_GB2312" w:eastAsia="仿宋_GB2312"/>
                <w:sz w:val="21"/>
              </w:rPr>
              <w:t>5.智能云白板：支持将教师板书同步保存至云端，并按时间、班级、来源等条件进行归档，支持跨终端调取复用以及再次编辑修改（非JPG格式与PDF格式）；支持将板书内容同步分享至学生移动终端或家长微信小程序端，支持将板书分享学科组教师、校本资源，支持一键生成分享二维码、链接，分享至微信\QQ，所分享的板书不仅支持查看其内容，同时可打开查看插入的文档、视频等富媒体资源；云端存储的板书内容可同步删除或批量导出至本地；支持导入图片格式文件至云白板，方便教学资源跨终端携带；</w:t>
            </w:r>
          </w:p>
          <w:p>
            <w:pPr>
              <w:pStyle w:val="null3"/>
              <w:jc w:val="both"/>
            </w:pPr>
            <w:r>
              <w:rPr>
                <w:rFonts w:ascii="仿宋_GB2312" w:hAnsi="仿宋_GB2312" w:cs="仿宋_GB2312" w:eastAsia="仿宋_GB2312"/>
                <w:sz w:val="21"/>
              </w:rPr>
              <w:t>6.智能工具：基于即时手写智能识别的智能工具板，可实现中英文智能转写、智能搜索、图形识别与函数识别等功能，所有板书记录可同步保存至智能云白板；</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中英文智能转写：支持将手写的中英文字词自动识别并转写为标准印刷体，字体大小可无级放大，并支持在线直接搜索和删除的功能；支持对中文生字的手写识别并可实现读音、笔顺、描红、笔画、偏旁部首、组词，支持米字格显示，通过字卡实现标准化教学；支持对英文单词的手写识别，并可更换字体显示，支持四线格显示，便捷教学；</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2）智能搜索：支持画圈搜索手写的中英文字词，可实时触达互联网资源，快速实现课堂拓展讲解；</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图形识别：支持将教师手写的图形自动识别为标准规范图形，并自由缩放、调整图形的比例大小，支持查看图形标注，设置边框线条和颜色，设置图形填充颜色，支持对图形的任意拖动、复制等功能，方便教师“以形助数”、直观讲解；</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函数识别：支持手动输入表达式或手写自动识别表达式，并自动绘制出对应的函数图像，支持隐藏目标函数图象，支持将相应的函数图形直接插入白板内，并且插入白板后支持直接在白板内对函数表达式进行二次编辑、拖动、缩放函数图像，方便教师进行二次讲解；</w:t>
            </w:r>
          </w:p>
          <w:p>
            <w:pPr>
              <w:pStyle w:val="null3"/>
              <w:jc w:val="both"/>
            </w:pPr>
            <w:r>
              <w:rPr>
                <w:rFonts w:ascii="仿宋_GB2312" w:hAnsi="仿宋_GB2312" w:cs="仿宋_GB2312" w:eastAsia="仿宋_GB2312"/>
                <w:sz w:val="21"/>
              </w:rPr>
              <w:t>7.课堂实录：支持任意授课场景/界面下进行微课录制，录制区域可选择全屏或自定义区域，录制过程中可来回切换白板、教材、桌面、课件等任意场景，可调用教学工具等；录制时可暂停、结束，可以收起录制按钮不影响授课画面，也可根据教师的需求选择视频画质和音频来源，支持电脑麦克风与扬声器双重录制声音，并可设置视频水印、时间提示、鼠标显示、画中画模式等，录制结束后自动生成MP4格式的文件，一键保存至本地或网盘，并分享到班级和学生；</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.窗口切换：支持任何界面一键返回桌面，支持一键自由切换最近打开的窗口；</w:t>
            </w:r>
          </w:p>
          <w:p>
            <w:pPr>
              <w:pStyle w:val="null3"/>
              <w:jc w:val="both"/>
            </w:pPr>
            <w:r>
              <w:rPr>
                <w:rFonts w:ascii="仿宋_GB2312" w:hAnsi="仿宋_GB2312" w:cs="仿宋_GB2312" w:eastAsia="仿宋_GB2312"/>
                <w:sz w:val="21"/>
              </w:rPr>
              <w:t>（四）管理中心</w:t>
            </w:r>
          </w:p>
          <w:p>
            <w:pPr>
              <w:pStyle w:val="null3"/>
              <w:jc w:val="both"/>
            </w:pPr>
            <w:r>
              <w:rPr>
                <w:rFonts w:ascii="仿宋_GB2312" w:hAnsi="仿宋_GB2312" w:cs="仿宋_GB2312" w:eastAsia="仿宋_GB2312"/>
                <w:sz w:val="21"/>
              </w:rPr>
              <w:t>1.授课登录：支持教师通过个人账号、微信授权、二维码或第三方账号等方式进行身份识别快速登录授课；登录后，即时进入上课模式，并自动获取云端课件；支持课件云同步功能，课件上的所有修改、操作均可同步保存至云端；</w:t>
            </w:r>
          </w:p>
          <w:p>
            <w:pPr>
              <w:pStyle w:val="null3"/>
              <w:jc w:val="both"/>
            </w:pPr>
            <w:r>
              <w:rPr>
                <w:rFonts w:ascii="仿宋_GB2312" w:hAnsi="仿宋_GB2312" w:cs="仿宋_GB2312" w:eastAsia="仿宋_GB2312"/>
                <w:sz w:val="21"/>
              </w:rPr>
              <w:t>2.支持自定义侧边和底部工具栏，侧边可以配置白板、课本、课件、课堂、窗口模块；底部可配置互动、聚焦、智能板等；</w:t>
            </w:r>
          </w:p>
          <w:p>
            <w:pPr>
              <w:pStyle w:val="null3"/>
              <w:jc w:val="both"/>
            </w:pPr>
            <w:r>
              <w:rPr>
                <w:rFonts w:ascii="仿宋_GB2312" w:hAnsi="仿宋_GB2312" w:cs="仿宋_GB2312" w:eastAsia="仿宋_GB2312"/>
                <w:sz w:val="21"/>
              </w:rPr>
              <w:t>3.支持授权开启双屏联动系统、多屏研讨系统、实训系统，多屏模式下支持主屏或小组屏设置，小组屏名称可自定义；在同一个平台构建多类教学模式；</w:t>
            </w:r>
          </w:p>
          <w:p>
            <w:pPr>
              <w:pStyle w:val="null3"/>
              <w:jc w:val="both"/>
            </w:pPr>
            <w:r>
              <w:rPr>
                <w:rFonts w:ascii="仿宋_GB2312" w:hAnsi="仿宋_GB2312" w:cs="仿宋_GB2312" w:eastAsia="仿宋_GB2312"/>
                <w:sz w:val="21"/>
              </w:rPr>
              <w:t>4.本地备份存储路径可修改，并支持对下载课本、缓存定期清理、手动清理，释放大屏本地存储空间；</w:t>
            </w:r>
          </w:p>
          <w:p>
            <w:pPr>
              <w:pStyle w:val="null3"/>
              <w:jc w:val="both"/>
            </w:pPr>
            <w:r>
              <w:rPr>
                <w:rFonts w:ascii="仿宋_GB2312" w:hAnsi="仿宋_GB2312" w:cs="仿宋_GB2312" w:eastAsia="仿宋_GB2312"/>
                <w:sz w:val="21"/>
              </w:rPr>
              <w:t>5.支持设置是否开启多人书写、板书美颜级别（低、中、高）、是否开启手势板擦、超级白板等；支持设置节能模式，可自由设置设定时间内无人操作自动关机等功能；</w:t>
            </w:r>
          </w:p>
          <w:p>
            <w:pPr>
              <w:pStyle w:val="null3"/>
              <w:jc w:val="both"/>
            </w:pPr>
            <w:r>
              <w:rPr>
                <w:rFonts w:ascii="仿宋_GB2312" w:hAnsi="仿宋_GB2312" w:cs="仿宋_GB2312" w:eastAsia="仿宋_GB2312"/>
                <w:sz w:val="21"/>
              </w:rPr>
              <w:t>（五）</w:t>
            </w:r>
            <w:r>
              <w:rPr>
                <w:rFonts w:ascii="仿宋_GB2312" w:hAnsi="仿宋_GB2312" w:cs="仿宋_GB2312" w:eastAsia="仿宋_GB2312"/>
                <w:sz w:val="21"/>
              </w:rPr>
              <w:t>.AI教师助手</w:t>
            </w:r>
          </w:p>
          <w:p>
            <w:pPr>
              <w:pStyle w:val="null3"/>
              <w:jc w:val="both"/>
            </w:pPr>
            <w:r>
              <w:rPr>
                <w:rFonts w:ascii="仿宋_GB2312" w:hAnsi="仿宋_GB2312" w:cs="仿宋_GB2312" w:eastAsia="仿宋_GB2312"/>
                <w:sz w:val="21"/>
              </w:rPr>
              <w:t>1.AI教案生成助手：支持教师根据学生的年纪、教学领域，基于教学目标，结构化智能生成活动目标、活动准备、活动过程等内容。</w:t>
            </w:r>
          </w:p>
          <w:p>
            <w:pPr>
              <w:pStyle w:val="null3"/>
              <w:jc w:val="both"/>
            </w:pPr>
            <w:r>
              <w:rPr>
                <w:rFonts w:ascii="仿宋_GB2312" w:hAnsi="仿宋_GB2312" w:cs="仿宋_GB2312" w:eastAsia="仿宋_GB2312"/>
                <w:sz w:val="21"/>
              </w:rPr>
              <w:t>2.教学PPT生成助手：支持生成教学相关的PPT大纲功能，支持选择教学主题，可手动输入文字或语音转文字，支持选择语言、社会、数学、科学、美术、健康、音乐教学领域，支持手动输入教学目标或语音转文字输入教学目标，支持选择班级选择课时，生成PPT大纲并导出。</w:t>
            </w:r>
          </w:p>
          <w:p>
            <w:pPr>
              <w:pStyle w:val="null3"/>
              <w:jc w:val="both"/>
            </w:pPr>
            <w:r>
              <w:rPr>
                <w:rFonts w:ascii="仿宋_GB2312" w:hAnsi="仿宋_GB2312" w:cs="仿宋_GB2312" w:eastAsia="仿宋_GB2312"/>
                <w:sz w:val="21"/>
              </w:rPr>
              <w:t>3.AI智能生成照片助手：支持教师输入关键词，选择照片尺寸及风格，即可智能AI生成个性化照片，若不符合要求，可重新生成。</w:t>
            </w:r>
          </w:p>
          <w:p>
            <w:pPr>
              <w:pStyle w:val="null3"/>
              <w:jc w:val="both"/>
            </w:pPr>
            <w:r>
              <w:rPr>
                <w:rFonts w:ascii="仿宋_GB2312" w:hAnsi="仿宋_GB2312" w:cs="仿宋_GB2312" w:eastAsia="仿宋_GB2312"/>
                <w:sz w:val="21"/>
              </w:rPr>
              <w:t>4.图片重绘助手：支持对已有照片进行重绘，通过添加图片，选择风格后生成对应风格的照片。</w:t>
            </w:r>
          </w:p>
          <w:p>
            <w:pPr>
              <w:pStyle w:val="null3"/>
              <w:jc w:val="both"/>
            </w:pPr>
            <w:r>
              <w:rPr>
                <w:rFonts w:ascii="仿宋_GB2312" w:hAnsi="仿宋_GB2312" w:cs="仿宋_GB2312" w:eastAsia="仿宋_GB2312"/>
                <w:sz w:val="21"/>
              </w:rPr>
              <w:t>5.通知生成助手：支持教师通过手动或语音转文字的输入方式，设置通知主题、通知对象，系统智能结构化形式生成通知公告。</w:t>
            </w:r>
          </w:p>
          <w:p>
            <w:pPr>
              <w:pStyle w:val="null3"/>
              <w:jc w:val="both"/>
            </w:pPr>
            <w:r>
              <w:rPr>
                <w:rFonts w:ascii="仿宋_GB2312" w:hAnsi="仿宋_GB2312" w:cs="仿宋_GB2312" w:eastAsia="仿宋_GB2312"/>
                <w:sz w:val="21"/>
              </w:rPr>
              <w:t>6.推文生成助手：支持手动或语音转文字输入标题描述，选择对象家长或老师，手动或语音转文字输入主要内容，最后立即生成推文。</w:t>
            </w:r>
          </w:p>
          <w:p>
            <w:pPr>
              <w:pStyle w:val="null3"/>
              <w:jc w:val="both"/>
            </w:pPr>
            <w:r>
              <w:rPr>
                <w:rFonts w:ascii="仿宋_GB2312" w:hAnsi="仿宋_GB2312" w:cs="仿宋_GB2312" w:eastAsia="仿宋_GB2312"/>
                <w:sz w:val="21"/>
              </w:rPr>
              <w:t>7.家长会PPT生成助手：支持输入家长会类型（包括新生家长会、期中家长会、期末家长会）、家长会主题、学期、班级，活动时长、活动流程描述，最终生成PPT大纲并导出。</w:t>
            </w:r>
          </w:p>
          <w:p>
            <w:pPr>
              <w:pStyle w:val="null3"/>
              <w:jc w:val="both"/>
            </w:pPr>
            <w:r>
              <w:rPr>
                <w:rFonts w:ascii="仿宋_GB2312" w:hAnsi="仿宋_GB2312" w:cs="仿宋_GB2312" w:eastAsia="仿宋_GB2312"/>
                <w:sz w:val="21"/>
              </w:rPr>
              <w:t>8.家长沟通话术助手：支持教师通过手动或语音转文字的输入方式，设置问题背景描述以及希望达成的效果，并结合教师自身需要，选择表达风格，系统智能生成沟通话术。</w:t>
            </w:r>
          </w:p>
          <w:p>
            <w:pPr>
              <w:pStyle w:val="null3"/>
              <w:jc w:val="both"/>
            </w:pPr>
            <w:r>
              <w:rPr>
                <w:rFonts w:ascii="仿宋_GB2312" w:hAnsi="仿宋_GB2312" w:cs="仿宋_GB2312" w:eastAsia="仿宋_GB2312"/>
                <w:sz w:val="21"/>
              </w:rPr>
              <w:t>9.内容扩写助手：支持教师通过手动或语音转文字的输入方式，录入要扩写的内容，智能对录入的内容进行扩写。</w:t>
            </w:r>
          </w:p>
          <w:p>
            <w:pPr>
              <w:pStyle w:val="null3"/>
              <w:jc w:val="both"/>
            </w:pPr>
            <w:r>
              <w:rPr>
                <w:rFonts w:ascii="仿宋_GB2312" w:hAnsi="仿宋_GB2312" w:cs="仿宋_GB2312" w:eastAsia="仿宋_GB2312"/>
                <w:sz w:val="21"/>
              </w:rPr>
              <w:t>10.内容润色助手：支持通过手动或语音转文字输入需要润色的内容，并可复制以及重新生成。</w:t>
            </w:r>
          </w:p>
          <w:p>
            <w:pPr>
              <w:pStyle w:val="null3"/>
              <w:jc w:val="both"/>
            </w:pPr>
            <w:r>
              <w:rPr>
                <w:rFonts w:ascii="仿宋_GB2312" w:hAnsi="仿宋_GB2312" w:cs="仿宋_GB2312" w:eastAsia="仿宋_GB2312"/>
                <w:sz w:val="21"/>
              </w:rPr>
              <w:t>11.内容翻译助手：支持手动或语音转文字输入需要翻译的内容，生成英文或者中文内容，并可复制、重新生成等功能。</w:t>
            </w:r>
          </w:p>
          <w:p>
            <w:pPr>
              <w:pStyle w:val="null3"/>
              <w:jc w:val="both"/>
            </w:pPr>
            <w:r>
              <w:rPr>
                <w:rFonts w:ascii="仿宋_GB2312" w:hAnsi="仿宋_GB2312" w:cs="仿宋_GB2312" w:eastAsia="仿宋_GB2312"/>
                <w:sz w:val="21"/>
              </w:rPr>
              <w:t>12.工作计划助手：支持手动或语音转文字生成计划主题，按照月份、学期、年份进行计划周期选择，选择对应的班级，以及手动或者语音转文字输入其他要求，最终生成工作计划。</w:t>
            </w:r>
          </w:p>
          <w:p>
            <w:pPr>
              <w:pStyle w:val="null3"/>
            </w:pPr>
            <w:r>
              <w:rPr>
                <w:rFonts w:ascii="仿宋_GB2312" w:hAnsi="仿宋_GB2312" w:cs="仿宋_GB2312" w:eastAsia="仿宋_GB2312"/>
                <w:sz w:val="21"/>
              </w:rPr>
              <w:t>13.工作总结助手：支持手动或语音转文字输入工作总结，选择月份、学期、年份、班级，同时手动或语音转文字输入其他要求后生成工作总结。</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交货期：合同签订后3日历天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合同签订后，乙方须按其响应文件中响应的时限按时完成本项目并提供全额合规发票保证“货票同行”，到达甲方指定地点，安装、调试完毕。经甲方验收合格后，向乙方支付合同价款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货物到达甲方指定地点后，甲方根据合同要求，进行外观验收，确认产地、规格、型号和数量。甲乙双方需在约定的时间和地点共同开箱检验。（二）货物安装、调试并正常运行后，由乙方进行自检，合格后能够正常使用时书面通知甲方。（三）甲方确认接收乙方的自检内容后，进行验收，验收合格后，由乙方对甲方操作人员进行培训，完成培训后，甲方填写验收单作为对货物的最终认可。（四）乙方向甲方提交货物实施过程中的所有资料，以便甲方日后管理和维护。（五）验收依据：1、本合同及合同附件。2、国家相应的标准、规范。3、磋商文件、响应文件、澄清表（函）。</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 （一）按《中华人民共和国政府采购法》、《中华人民共和国民法典》中的相关条款执行。 （二）未按合同要求提供货物或质量不能满足磋商文件技术要求，在约定的条件下，乙方必须无条件更换，提高技术，完善质量，否则，甲方有权解除合同，解除合同书面通知书到达乙方之日视为合同已解除，并按以下两种方式追究乙方的违约责任： 1、乙方赔偿甲方解除合同的全部损失（包括但不限于重新采购产生的费用、合同未履行导致设备不能按规划交付使用可能产生的租赁费用及其它由此造成的甲方对第三方的违约损失）； 合同争议解决的方式 本合同在履行过程中发生的争议，由甲、乙双方当事人协商解决，协商不成的依法向甲方所在地人民法院起诉。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核心产品为：智慧黑板。2、采购标的对应的中小企业划分标准所属行业为工业。工业的划型标准为：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3、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4、供应商需要在线提交所有通过电子化交易平台实施的政府采购项目的响应文件，同时，线下提交纸质响应文件壹份，具体要求详见磋商公告。5、本项目为交钥匙项目，供应商的报价是供应商响应磋商项目要求的全部工作内容的价格体现，包括供应商完成本项目所需的一切费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磋商响应第一次报价表及分项报价表.docx 技术及商务响应.docx 磋商响应函.docx 中小企业声明函 承诺书.docx 报价表 身份证明文件.docx 响应文件封面 相关资格证明资料.docx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相关资格证明资料.docx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法人或者其他组织提供营业执照、事业单位法人证书等证明文件，自然人提供身份证件，供应商需在项目电子化交易系统中按要求上传相应证明文件并进行电子签章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身份证明文件</w:t>
            </w:r>
          </w:p>
        </w:tc>
        <w:tc>
          <w:tcPr>
            <w:tcW w:type="dxa" w:w="3322"/>
          </w:tcPr>
          <w:p>
            <w:pPr>
              <w:pStyle w:val="null3"/>
            </w:pPr>
            <w:r>
              <w:rPr>
                <w:rFonts w:ascii="仿宋_GB2312" w:hAnsi="仿宋_GB2312" w:cs="仿宋_GB2312" w:eastAsia="仿宋_GB2312"/>
              </w:rPr>
              <w:t>法定代表人（单位负责人）授权委托书（附法定代表人（单位负责人）、被授权人身份证复印件及被授权人近三个月（开标时间前连续三个月（不含开标当月））社保缴纳的证明资料）（法定代表人（单位负责人）直接参加的，须提供法定代表人（单位负责人）身份证明书及身份证复印件且与营业执照上信息须一致），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 响应函 身份证明文件.docx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2024年度经审计的财务审计报告（事业法人可提供部门决算报告）；或提供开标日前三个月内基本存款账户银行出具的资信证明及基本存款账户银行相关证明资料；或提供专业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参加政府采购活动前3年内在经营活动中没有重大违法记录的书面声明；其中：重大违法记录是指供应商因违法经营受到刑事处罚或者责令停产停业、吊销许可证或者执照、较大数额罚款等行政处罚</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供应商信用状况</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网站查询结果为准</w:t>
            </w:r>
          </w:p>
        </w:tc>
        <w:tc>
          <w:tcPr>
            <w:tcW w:type="dxa" w:w="1661"/>
          </w:tcPr>
          <w:p>
            <w:pPr>
              <w:pStyle w:val="null3"/>
            </w:pPr>
            <w:r>
              <w:rPr>
                <w:rFonts w:ascii="仿宋_GB2312" w:hAnsi="仿宋_GB2312" w:cs="仿宋_GB2312" w:eastAsia="仿宋_GB2312"/>
              </w:rPr>
              <w:t>磋商响应第一次报价表及分项报价表.docx 技术及商务响应.docx 磋商响应函.docx 中小企业声明函 承诺书.docx 报价表 身份证明文件.docx 响应文件封面 相关资格证明资料.docx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w:t>
            </w:r>
          </w:p>
        </w:tc>
        <w:tc>
          <w:tcPr>
            <w:tcW w:type="dxa" w:w="3322"/>
          </w:tcPr>
          <w:p>
            <w:pPr>
              <w:pStyle w:val="null3"/>
            </w:pPr>
            <w:r>
              <w:rPr>
                <w:rFonts w:ascii="仿宋_GB2312" w:hAnsi="仿宋_GB2312" w:cs="仿宋_GB2312" w:eastAsia="仿宋_GB2312"/>
              </w:rPr>
              <w:t>本项目不允许联合体响应，供应商需在项目电子化交易系统中按要求上传相应证明文件并进行电子签章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磋商响应第一次报价表及分项报价表.docx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磋商响应函.docx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响应文件的签署、盖章、有效性</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磋商响应第一次报价表及分项报价表.docx 技术及商务响应.docx 磋商响应函.docx 中小企业声明函 承诺书.docx 报价表 身份证明文件.docx 响应文件封面 相关资格证明资料.docx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唯一报价，并未超出采购预算或最高限价</w:t>
            </w:r>
          </w:p>
        </w:tc>
        <w:tc>
          <w:tcPr>
            <w:tcW w:type="dxa" w:w="1661"/>
          </w:tcPr>
          <w:p>
            <w:pPr>
              <w:pStyle w:val="null3"/>
            </w:pPr>
            <w:r>
              <w:rPr>
                <w:rFonts w:ascii="仿宋_GB2312" w:hAnsi="仿宋_GB2312" w:cs="仿宋_GB2312" w:eastAsia="仿宋_GB2312"/>
              </w:rPr>
              <w:t>磋商响应第一次报价表及分项报价表.docx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磋商响应第一次报价表及分项报价表.docx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磋商响应第一次报价表及分项报价表.docx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未出现采购文件规定的无效响应情形</w:t>
            </w:r>
          </w:p>
        </w:tc>
        <w:tc>
          <w:tcPr>
            <w:tcW w:type="dxa" w:w="1661"/>
          </w:tcPr>
          <w:p>
            <w:pPr>
              <w:pStyle w:val="null3"/>
            </w:pPr>
            <w:r>
              <w:rPr>
                <w:rFonts w:ascii="仿宋_GB2312" w:hAnsi="仿宋_GB2312" w:cs="仿宋_GB2312" w:eastAsia="仿宋_GB2312"/>
              </w:rPr>
              <w:t>磋商响应第一次报价表及分项报价表.docx 技术及商务响应.docx 磋商响应函.docx 中小企业声明函 承诺书.docx 报价表 身份证明文件.docx 响应文件封面 相关资格证明资料.docx 残疾人福利性单位声明函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技术指标分关键技术指标（▲项）和一般技术指标。完全满足磋商文件要求得30分，关键技术指标（▲项）有1项负偏离扣3分，一般技术指标有1项负偏离扣1分，扣完为止。 说明：关键技术指标（▲项）供应商须提供相关技术指标证明材料予以佐证并注明具体页码，若不提供，按负偏离处理。证明材料以参数要求提供的证明材料为准，证明材料须呈现相应功能及技术指标，若未体现或截图不清晰，按负偏离处理。供应商自行承担因材料提供不全导致的技术参数评审风险。如出现供应商技术参数完全复制的响应情况，由评委视其情况给予15分的扣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技术及商务响应.docx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针对本项目提出实施方案，方案内容包含：①产品配置与选型；②项目组织机构人员安排及供货、配送、安装、调试方案；③产品测试、验收措施；④培训方案；⑤提供设备使用期间可能会发生的故障及故障发生后的响应时间及补救方案。 二、评审标准： 1、完整性：内容必须全面，对评审内容中的各项要求有详细描述；2、可实施性：切合本项目实际情况，提出清晰、合理的内容；3、针对性：内容能够紧扣项目实际情况，内容科学合理。 三、赋分标准 ①产品配置与选型：每完全满足一项评审标准得1分，满分3分； ②项目组织机构人员安排及供货、配送、安装、调试方案：每完全满足一项评审标准得0.5分，满分1.5分； ③产品测试、验收措施：每完全满足一项评审标准得1分，满分3分； ④培训方案：每完全满足一项评审标准得0.5分，满分1.5分； ⑤提供设备使用期间可能会发生的故障及故障发生后的响应时间及补救方案：每完全满足一项评审标准得1分，满分3分。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技术及商务响应.docx</w:t>
            </w:r>
          </w:p>
        </w:tc>
      </w:tr>
      <w:tr>
        <w:tc>
          <w:tcPr>
            <w:tcW w:type="dxa" w:w="831"/>
            <w:vMerge/>
          </w:tcPr>
          <w:p/>
        </w:tc>
        <w:tc>
          <w:tcPr>
            <w:tcW w:type="dxa" w:w="1661"/>
          </w:tcPr>
          <w:p>
            <w:pPr>
              <w:pStyle w:val="null3"/>
            </w:pPr>
            <w:r>
              <w:rPr>
                <w:rFonts w:ascii="仿宋_GB2312" w:hAnsi="仿宋_GB2312" w:cs="仿宋_GB2312" w:eastAsia="仿宋_GB2312"/>
              </w:rPr>
              <w:t>保证措施</w:t>
            </w:r>
          </w:p>
        </w:tc>
        <w:tc>
          <w:tcPr>
            <w:tcW w:type="dxa" w:w="2492"/>
          </w:tcPr>
          <w:p>
            <w:pPr>
              <w:pStyle w:val="null3"/>
            </w:pPr>
            <w:r>
              <w:rPr>
                <w:rFonts w:ascii="仿宋_GB2312" w:hAnsi="仿宋_GB2312" w:cs="仿宋_GB2312" w:eastAsia="仿宋_GB2312"/>
              </w:rPr>
              <w:t>一、评审内容： 针对本项目提出保证措施，内容包含：①产品质量保证措施；②项目进度保证措施；③产品性能的保证措施（内容包括：设备先进性，配置完整性，性能的稳定性，系统兼容性，行业使用广泛性等）；④产品可靠性（提供所投产品货源渠道合法的证明文件（内容包括销售协议或代理协议或原厂授权等），产品符合国家、行业标准及有关规定，确保产品性能稳定，无产权纠纷）。 二、评审标准： 1、完整性：内容必须全面，对评审内容中的各项要求有详细描述； 2、可实施性：切合本项目实际情况，提出清晰、合理的内容； 3、针对性：内容能够紧扣项目实际情况，内容科学合理。 三、赋分标准 ①产品质量保证措施：每完全满足一项评审标准得1分，满分3分； ②项目进度保证措施：每完全满足一项评审标准得1分，满分3分； ③产品性能的保证措施（内容包括：设备先进性，配置完整性，性能的稳定性，系统兼容性，行业使用广泛性等）：每完全满足一项评审标准得1分，满分3分； ④产品可靠性（提供所投产品货源渠道合法的证明文件（内容包括销售协议或代理协议或原厂授权等），产品符合国家、行业标准及有关规定，确保产品性能稳定，无产权纠纷）：每完全满足一项评审标准得2分，满分6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技术及商务响应.docx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针对本项目提出售后服务内容包含：①售后服务措施；②售后服务机构及售后服务人员配备；③售后服务承诺。 二、评审标准： 1、完整性：内容必须全面，对评审内容中的各项要求有详细描述； 2、可实施性：切合本项目实际情况，提出清晰、合理的内容； 3、针对性：内容能够紧扣项目实际情况，内容科学合理。 三、赋分标准 ①售后服务措施：每完全满足一项评审标准得0.5分，满分1.5分； ②售后服务机构及售后服务人员配备：每完全满足一项评审标准得0.5分，满分1.5分； ③售后服务承诺：每完全满足一项评审标准得2分，满分6分；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技术及商务响应.docx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提供2022年12月至今的类似项目业绩合同，以签订的合同日期为准。每提供1份完整有效合同得1分，本项最多得4分。（合同内容须完整清晰，若无法辨认不得分）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技术及商务响应.docx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采用低价优先法计算，即满足磋商文件要求且最后报价最低的供应商的价格为磋商基准价，其价格分为满分。磋商报价得分＝（磋商基准价/最后磋商报价）×价格分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磋商响应第一次报价表及分项报价表.docx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相关资格证明资料.docx</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详见附件：磋商响应第一次报价表及分项报价表.docx</w:t>
      </w:r>
    </w:p>
    <w:p>
      <w:pPr>
        <w:pStyle w:val="null3"/>
        <w:ind w:firstLine="960"/>
      </w:pPr>
      <w:r>
        <w:rPr>
          <w:rFonts w:ascii="仿宋_GB2312" w:hAnsi="仿宋_GB2312" w:cs="仿宋_GB2312" w:eastAsia="仿宋_GB2312"/>
        </w:rPr>
        <w:t>详见附件：磋商响应函.docx</w:t>
      </w:r>
    </w:p>
    <w:p>
      <w:pPr>
        <w:pStyle w:val="null3"/>
        <w:ind w:firstLine="960"/>
      </w:pPr>
      <w:r>
        <w:rPr>
          <w:rFonts w:ascii="仿宋_GB2312" w:hAnsi="仿宋_GB2312" w:cs="仿宋_GB2312" w:eastAsia="仿宋_GB2312"/>
        </w:rPr>
        <w:t>详见附件：技术及商务响应.docx</w:t>
      </w:r>
    </w:p>
    <w:p>
      <w:pPr>
        <w:pStyle w:val="null3"/>
        <w:ind w:firstLine="960"/>
      </w:pPr>
      <w:r>
        <w:rPr>
          <w:rFonts w:ascii="仿宋_GB2312" w:hAnsi="仿宋_GB2312" w:cs="仿宋_GB2312" w:eastAsia="仿宋_GB2312"/>
        </w:rPr>
        <w:t>详见附件：身份证明文件.docx</w:t>
      </w:r>
    </w:p>
    <w:p>
      <w:pPr>
        <w:pStyle w:val="null3"/>
        <w:ind w:firstLine="960"/>
      </w:pPr>
      <w:r>
        <w:rPr>
          <w:rFonts w:ascii="仿宋_GB2312" w:hAnsi="仿宋_GB2312" w:cs="仿宋_GB2312" w:eastAsia="仿宋_GB2312"/>
        </w:rPr>
        <w:t>详见附件：相关资格证明资料.docx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