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版本号：SXSJHT2025-10520250402002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新城区政务服务大厅新址建设项目代建服务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SXSJHT2025-105</w:t>
      </w:r>
      <w:r>
        <w:br/>
      </w:r>
      <w:r>
        <w:br/>
      </w:r>
      <w:r>
        <w:br/>
      </w:r>
    </w:p>
    <w:p>
      <w:pPr>
        <w:pStyle w:val="null3"/>
        <w:jc w:val="center"/>
        <w:outlineLvl w:val="2"/>
      </w:pPr>
      <w:r>
        <w:rPr>
          <w:rFonts w:ascii="仿宋_GB2312" w:hAnsi="仿宋_GB2312" w:cs="仿宋_GB2312" w:eastAsia="仿宋_GB2312"/>
          <w:sz w:val="28"/>
          <w:b/>
        </w:rPr>
        <w:t>西安市新城区行政审批服务局</w:t>
      </w:r>
    </w:p>
    <w:p>
      <w:pPr>
        <w:pStyle w:val="null3"/>
        <w:jc w:val="center"/>
        <w:outlineLvl w:val="2"/>
      </w:pPr>
      <w:r>
        <w:rPr>
          <w:rFonts w:ascii="仿宋_GB2312" w:hAnsi="仿宋_GB2312" w:cs="仿宋_GB2312" w:eastAsia="仿宋_GB2312"/>
          <w:sz w:val="28"/>
          <w:b/>
        </w:rPr>
        <w:t>陕西盛世嘉和招标有限公司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陕西盛世嘉和招标有限公司</w:t>
      </w:r>
      <w:r>
        <w:rPr>
          <w:rFonts w:ascii="仿宋_GB2312" w:hAnsi="仿宋_GB2312" w:cs="仿宋_GB2312" w:eastAsia="仿宋_GB2312"/>
        </w:rPr>
        <w:t>（以下简称“代理机构”）受</w:t>
      </w:r>
      <w:r>
        <w:rPr>
          <w:rFonts w:ascii="仿宋_GB2312" w:hAnsi="仿宋_GB2312" w:cs="仿宋_GB2312" w:eastAsia="仿宋_GB2312"/>
        </w:rPr>
        <w:t>西安市新城区行政审批服务局</w:t>
      </w:r>
      <w:r>
        <w:rPr>
          <w:rFonts w:ascii="仿宋_GB2312" w:hAnsi="仿宋_GB2312" w:cs="仿宋_GB2312" w:eastAsia="仿宋_GB2312"/>
        </w:rPr>
        <w:t>委托，拟对</w:t>
      </w:r>
      <w:r>
        <w:rPr>
          <w:rFonts w:ascii="仿宋_GB2312" w:hAnsi="仿宋_GB2312" w:cs="仿宋_GB2312" w:eastAsia="仿宋_GB2312"/>
        </w:rPr>
        <w:t>新城区政务服务大厅新址建设项目代建服务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SXSJHT2025-105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新城区政务服务大厅新址建设项目代建服务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项目建设的全过程进行建设管理，包括但不限于以下内容：项目的立项、招标、设计、工程概预算、监理、施工、设施设备采购、信息化建设、验收、工程结算、移交、保修等项目实施过程管理及开展项目有关手续的报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采购包1（新城区政务服务大厅新址建设项目代建服务）：属于专门面向中小企业采购。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2、财务状况报告：提供2023年度的财务审计报告，或开标前三个月内其基本存款账户开户银行出具的资信证明及基本存款账户开户许可证（基本存款账户信息）；</w:t>
      </w:r>
    </w:p>
    <w:p>
      <w:pPr>
        <w:pStyle w:val="null3"/>
      </w:pPr>
      <w:r>
        <w:rPr>
          <w:rFonts w:ascii="仿宋_GB2312" w:hAnsi="仿宋_GB2312" w:cs="仿宋_GB2312" w:eastAsia="仿宋_GB2312"/>
        </w:rPr>
        <w:t>3、税收缴纳证明：提供开标前近六个月内任意一个月的纳税证明或完税证明（任意税种），依法免税的单位应提供相关证明材料；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4、社会保障资金缴纳证明：提供开标前近六个月内任意一个月的社会保障资金缴存单据或社保机构开具的社会保险参保缴费情况证明，依法不需要缴纳社会保障资金的单位应提供相关证明材料；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7、法定代表人授权书代表人身份证明：法定代表人授权书（附法定代表人、被授权人身份证复印件）及被授权人身份证（法定代表人直接参加投标，须提供法定代表人身份证明及身份证原件）；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9、拟派项目经理：拟派项目经理具有中级及以上职称或具有任意一项注册证书（注册咨询师、注册监理工程师、注册建造师、注册结构工程师、注册造价工程师）；</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西安市新城区韩森路287号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西安市新城区行政审批服务局经办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029-87443181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陕西盛世嘉和招标有限公司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陕西省西安市高新区团结南路12号西安国际人才大厦A座15楼1503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029-88601068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和《国家发改委办公厅关于印发&lt;招标代理服务收费管理暂行办法&gt;的通知》(发改办价格【2003】857号)规定执行。若最终代理服务费不足5000元，按5000元记取费用。在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西安市新城区行政审批服务局</w:t>
      </w:r>
      <w:r>
        <w:rPr>
          <w:rFonts w:ascii="仿宋_GB2312" w:hAnsi="仿宋_GB2312" w:cs="仿宋_GB2312" w:eastAsia="仿宋_GB2312"/>
        </w:rPr>
        <w:t>和</w:t>
      </w:r>
      <w:r>
        <w:rPr>
          <w:rFonts w:ascii="仿宋_GB2312" w:hAnsi="仿宋_GB2312" w:cs="仿宋_GB2312" w:eastAsia="仿宋_GB2312"/>
        </w:rPr>
        <w:t>陕西盛世嘉和招标有限公司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陕西盛世嘉和招标有限公司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陕西盛世嘉和招标有限公司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陕西盛世嘉和招标有限公司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陕西盛世嘉和招标有限公司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陕西盛世嘉和招标有限公司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联系人：韩工</w:t>
      </w:r>
    </w:p>
    <w:p>
      <w:pPr>
        <w:pStyle w:val="null3"/>
      </w:pPr>
      <w:r>
        <w:rPr>
          <w:rFonts w:ascii="仿宋_GB2312" w:hAnsi="仿宋_GB2312" w:cs="仿宋_GB2312" w:eastAsia="仿宋_GB2312"/>
        </w:rPr>
        <w:t>联系电话：029-88601068</w:t>
      </w:r>
    </w:p>
    <w:p>
      <w:pPr>
        <w:pStyle w:val="null3"/>
      </w:pPr>
      <w:r>
        <w:rPr>
          <w:rFonts w:ascii="仿宋_GB2312" w:hAnsi="仿宋_GB2312" w:cs="仿宋_GB2312" w:eastAsia="仿宋_GB2312"/>
        </w:rPr>
        <w:t>地址：陕西省西安市高新区团结南路12号西安国际人才大厦A座15楼1503 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新城区政务服务大厅新址建设项目建设的全过程进行建设管理，包括但不限于以下内容：项目的立项、招标、设计、工程概预算、监理、施工、设施设备采购、信息化建设、验收、工程结算、移交、保修等项目实施过程管理及开展项目有关手续的报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新城区政务服务大厅新址建设项目代建服务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标的名称：新城区政务服务大厅新址建设项目代建服务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招标内容及技术要求</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新城区政务服务新址大厅建设项目从项目立项开始至项目竣工结算之日止的全过程代建服务</w:t>
            </w:r>
            <w:r>
              <w:rPr>
                <w:rFonts w:ascii="仿宋_GB2312" w:hAnsi="仿宋_GB2312" w:cs="仿宋_GB2312" w:eastAsia="仿宋_GB2312"/>
              </w:rPr>
              <w:t>，对项目建设的全过程进行建设管理，包括但不限于以下内容：项目的立项、招标、设计、工程概预算、监理、施工、设施设备采购、信息化建设、验收、工程结算、移交、保修等项目实施过程管理及开展项目有关手续的报审工作；</w:t>
            </w:r>
          </w:p>
          <w:p>
            <w:pPr>
              <w:pStyle w:val="null3"/>
            </w:pPr>
            <w:r>
              <w:rPr>
                <w:rFonts w:ascii="仿宋_GB2312" w:hAnsi="仿宋_GB2312" w:cs="仿宋_GB2312" w:eastAsia="仿宋_GB2312"/>
              </w:rPr>
              <w:t>二、服务期限</w:t>
            </w:r>
          </w:p>
          <w:p>
            <w:pPr>
              <w:pStyle w:val="null3"/>
            </w:pPr>
            <w:r>
              <w:rPr>
                <w:rFonts w:ascii="仿宋_GB2312" w:hAnsi="仿宋_GB2312" w:cs="仿宋_GB2312" w:eastAsia="仿宋_GB2312"/>
              </w:rPr>
              <w:t>合同签订之日起至项目竣工结算之日止的全过程代建服务</w:t>
            </w:r>
          </w:p>
          <w:p>
            <w:pPr>
              <w:pStyle w:val="null3"/>
            </w:pPr>
            <w:r>
              <w:rPr>
                <w:rFonts w:ascii="仿宋_GB2312" w:hAnsi="仿宋_GB2312" w:cs="仿宋_GB2312" w:eastAsia="仿宋_GB2312"/>
              </w:rPr>
              <w:t>三</w:t>
            </w:r>
            <w:r>
              <w:rPr>
                <w:rFonts w:ascii="仿宋_GB2312" w:hAnsi="仿宋_GB2312" w:cs="仿宋_GB2312" w:eastAsia="仿宋_GB2312"/>
              </w:rPr>
              <w:t>、服务标准</w:t>
            </w:r>
          </w:p>
          <w:p>
            <w:pPr>
              <w:pStyle w:val="null3"/>
            </w:pPr>
            <w:r>
              <w:rPr>
                <w:rFonts w:ascii="仿宋_GB2312" w:hAnsi="仿宋_GB2312" w:cs="仿宋_GB2312" w:eastAsia="仿宋_GB2312"/>
              </w:rPr>
              <w:t>1</w:t>
            </w:r>
            <w:r>
              <w:rPr>
                <w:rFonts w:ascii="仿宋_GB2312" w:hAnsi="仿宋_GB2312" w:cs="仿宋_GB2312" w:eastAsia="仿宋_GB2312"/>
              </w:rPr>
              <w:t>、项目建设过程中严格执行国家、省、市规定的标准、政策和现行技术规范、规程要求。</w:t>
            </w:r>
          </w:p>
          <w:p>
            <w:pPr>
              <w:pStyle w:val="null3"/>
            </w:pPr>
            <w:r>
              <w:rPr>
                <w:rFonts w:ascii="仿宋_GB2312" w:hAnsi="仿宋_GB2312" w:cs="仿宋_GB2312" w:eastAsia="仿宋_GB2312"/>
              </w:rPr>
              <w:t>2</w:t>
            </w:r>
            <w:r>
              <w:rPr>
                <w:rFonts w:ascii="仿宋_GB2312" w:hAnsi="仿宋_GB2312" w:cs="仿宋_GB2312" w:eastAsia="仿宋_GB2312"/>
              </w:rPr>
              <w:t>、保证工程进度、满足工程质量、安全生产、治污减霾等达标、制定工程进度、安全生产等管理应急预案，确保目标实现。</w:t>
            </w:r>
          </w:p>
          <w:p>
            <w:pPr>
              <w:pStyle w:val="null3"/>
            </w:pPr>
            <w:r>
              <w:rPr>
                <w:rFonts w:ascii="仿宋_GB2312" w:hAnsi="仿宋_GB2312" w:cs="仿宋_GB2312" w:eastAsia="仿宋_GB2312"/>
              </w:rPr>
              <w:t>3</w:t>
            </w:r>
            <w:r>
              <w:rPr>
                <w:rFonts w:ascii="仿宋_GB2312" w:hAnsi="仿宋_GB2312" w:cs="仿宋_GB2312" w:eastAsia="仿宋_GB2312"/>
              </w:rPr>
              <w:t>、在项目代建期，遵守国家有关法律、法规、维护采购人</w:t>
            </w:r>
            <w:r>
              <w:rPr>
                <w:rFonts w:ascii="仿宋_GB2312" w:hAnsi="仿宋_GB2312" w:cs="仿宋_GB2312" w:eastAsia="仿宋_GB2312"/>
              </w:rPr>
              <w:t>(</w:t>
            </w:r>
            <w:r>
              <w:rPr>
                <w:rFonts w:ascii="仿宋_GB2312" w:hAnsi="仿宋_GB2312" w:cs="仿宋_GB2312" w:eastAsia="仿宋_GB2312"/>
              </w:rPr>
              <w:t>建设单位</w:t>
            </w:r>
            <w:r>
              <w:rPr>
                <w:rFonts w:ascii="仿宋_GB2312" w:hAnsi="仿宋_GB2312" w:cs="仿宋_GB2312" w:eastAsia="仿宋_GB2312"/>
              </w:rPr>
              <w:t>)</w:t>
            </w:r>
            <w:r>
              <w:rPr>
                <w:rFonts w:ascii="仿宋_GB2312" w:hAnsi="仿宋_GB2312" w:cs="仿宋_GB2312" w:eastAsia="仿宋_GB2312"/>
              </w:rPr>
              <w:t>方的合法权益。严格按照政府关于工程建设的规定和制度履行职责，接受相关主管部门的监督，并承担相应的责任。</w:t>
            </w:r>
          </w:p>
          <w:p>
            <w:pPr>
              <w:pStyle w:val="null3"/>
            </w:pPr>
            <w:r>
              <w:rPr>
                <w:rFonts w:ascii="仿宋_GB2312" w:hAnsi="仿宋_GB2312" w:cs="仿宋_GB2312" w:eastAsia="仿宋_GB2312"/>
              </w:rPr>
              <w:t>四</w:t>
            </w:r>
            <w:r>
              <w:rPr>
                <w:rFonts w:ascii="仿宋_GB2312" w:hAnsi="仿宋_GB2312" w:cs="仿宋_GB2312" w:eastAsia="仿宋_GB2312"/>
              </w:rPr>
              <w:t>、服务要求</w:t>
            </w:r>
          </w:p>
          <w:p>
            <w:pPr>
              <w:pStyle w:val="null3"/>
            </w:pPr>
            <w:r>
              <w:rPr>
                <w:rFonts w:ascii="仿宋_GB2312" w:hAnsi="仿宋_GB2312" w:cs="仿宋_GB2312" w:eastAsia="仿宋_GB2312"/>
              </w:rPr>
              <w:t>1</w:t>
            </w:r>
            <w:r>
              <w:rPr>
                <w:rFonts w:ascii="仿宋_GB2312" w:hAnsi="仿宋_GB2312" w:cs="仿宋_GB2312" w:eastAsia="仿宋_GB2312"/>
              </w:rPr>
              <w:t>、标准责任目标</w:t>
            </w:r>
          </w:p>
          <w:p>
            <w:pPr>
              <w:pStyle w:val="null3"/>
            </w:pPr>
            <w:r>
              <w:rPr>
                <w:rFonts w:ascii="仿宋_GB2312" w:hAnsi="仿宋_GB2312" w:cs="仿宋_GB2312" w:eastAsia="仿宋_GB2312"/>
              </w:rPr>
              <w:t>协助采购人</w:t>
            </w:r>
            <w:r>
              <w:rPr>
                <w:rFonts w:ascii="仿宋_GB2312" w:hAnsi="仿宋_GB2312" w:cs="仿宋_GB2312" w:eastAsia="仿宋_GB2312"/>
              </w:rPr>
              <w:t>(</w:t>
            </w:r>
            <w:r>
              <w:rPr>
                <w:rFonts w:ascii="仿宋_GB2312" w:hAnsi="仿宋_GB2312" w:cs="仿宋_GB2312" w:eastAsia="仿宋_GB2312"/>
              </w:rPr>
              <w:t>建设单位</w:t>
            </w:r>
            <w:r>
              <w:rPr>
                <w:rFonts w:ascii="仿宋_GB2312" w:hAnsi="仿宋_GB2312" w:cs="仿宋_GB2312" w:eastAsia="仿宋_GB2312"/>
              </w:rPr>
              <w:t>)</w:t>
            </w:r>
            <w:r>
              <w:rPr>
                <w:rFonts w:ascii="仿宋_GB2312" w:hAnsi="仿宋_GB2312" w:cs="仿宋_GB2312" w:eastAsia="仿宋_GB2312"/>
              </w:rPr>
              <w:t>严格控制工程建设的投资和标准，按照既定目标和标准完成建设项目。</w:t>
            </w:r>
          </w:p>
          <w:p>
            <w:pPr>
              <w:pStyle w:val="null3"/>
            </w:pPr>
            <w:r>
              <w:rPr>
                <w:rFonts w:ascii="仿宋_GB2312" w:hAnsi="仿宋_GB2312" w:cs="仿宋_GB2312" w:eastAsia="仿宋_GB2312"/>
              </w:rPr>
              <w:t>2</w:t>
            </w:r>
            <w:r>
              <w:rPr>
                <w:rFonts w:ascii="仿宋_GB2312" w:hAnsi="仿宋_GB2312" w:cs="仿宋_GB2312" w:eastAsia="仿宋_GB2312"/>
              </w:rPr>
              <w:t>、建设工期责任目标</w:t>
            </w:r>
          </w:p>
          <w:p>
            <w:pPr>
              <w:pStyle w:val="null3"/>
            </w:pPr>
            <w:r>
              <w:rPr>
                <w:rFonts w:ascii="仿宋_GB2312" w:hAnsi="仿宋_GB2312" w:cs="仿宋_GB2312" w:eastAsia="仿宋_GB2312"/>
              </w:rPr>
              <w:t>协助采购人</w:t>
            </w:r>
            <w:r>
              <w:rPr>
                <w:rFonts w:ascii="仿宋_GB2312" w:hAnsi="仿宋_GB2312" w:cs="仿宋_GB2312" w:eastAsia="仿宋_GB2312"/>
              </w:rPr>
              <w:t>(</w:t>
            </w:r>
            <w:r>
              <w:rPr>
                <w:rFonts w:ascii="仿宋_GB2312" w:hAnsi="仿宋_GB2312" w:cs="仿宋_GB2312" w:eastAsia="仿宋_GB2312"/>
              </w:rPr>
              <w:t>建设单位</w:t>
            </w:r>
            <w:r>
              <w:rPr>
                <w:rFonts w:ascii="仿宋_GB2312" w:hAnsi="仿宋_GB2312" w:cs="仿宋_GB2312" w:eastAsia="仿宋_GB2312"/>
              </w:rPr>
              <w:t>)</w:t>
            </w:r>
            <w:r>
              <w:rPr>
                <w:rFonts w:ascii="仿宋_GB2312" w:hAnsi="仿宋_GB2312" w:cs="仿宋_GB2312" w:eastAsia="仿宋_GB2312"/>
              </w:rPr>
              <w:t>建设工期严格控制在建设合同工期内</w:t>
            </w:r>
          </w:p>
          <w:p>
            <w:pPr>
              <w:pStyle w:val="null3"/>
            </w:pPr>
            <w:r>
              <w:rPr>
                <w:rFonts w:ascii="仿宋_GB2312" w:hAnsi="仿宋_GB2312" w:cs="仿宋_GB2312" w:eastAsia="仿宋_GB2312"/>
              </w:rPr>
              <w:t>3</w:t>
            </w:r>
            <w:r>
              <w:rPr>
                <w:rFonts w:ascii="仿宋_GB2312" w:hAnsi="仿宋_GB2312" w:cs="仿宋_GB2312" w:eastAsia="仿宋_GB2312"/>
              </w:rPr>
              <w:t>、工程质量责任目标</w:t>
            </w:r>
          </w:p>
          <w:p>
            <w:pPr>
              <w:pStyle w:val="null3"/>
            </w:pPr>
            <w:r>
              <w:rPr>
                <w:rFonts w:ascii="仿宋_GB2312" w:hAnsi="仿宋_GB2312" w:cs="仿宋_GB2312" w:eastAsia="仿宋_GB2312"/>
              </w:rPr>
              <w:t>协助采购人</w:t>
            </w:r>
            <w:r>
              <w:rPr>
                <w:rFonts w:ascii="仿宋_GB2312" w:hAnsi="仿宋_GB2312" w:cs="仿宋_GB2312" w:eastAsia="仿宋_GB2312"/>
              </w:rPr>
              <w:t>(</w:t>
            </w:r>
            <w:r>
              <w:rPr>
                <w:rFonts w:ascii="仿宋_GB2312" w:hAnsi="仿宋_GB2312" w:cs="仿宋_GB2312" w:eastAsia="仿宋_GB2312"/>
              </w:rPr>
              <w:t>建设单位</w:t>
            </w:r>
            <w:r>
              <w:rPr>
                <w:rFonts w:ascii="仿宋_GB2312" w:hAnsi="仿宋_GB2312" w:cs="仿宋_GB2312" w:eastAsia="仿宋_GB2312"/>
              </w:rPr>
              <w:t>)</w:t>
            </w:r>
            <w:r>
              <w:rPr>
                <w:rFonts w:ascii="仿宋_GB2312" w:hAnsi="仿宋_GB2312" w:cs="仿宋_GB2312" w:eastAsia="仿宋_GB2312"/>
              </w:rPr>
              <w:t>按国家有关规定、规范组织建设，工程质量达到规定的工程施工质量验收标准和检验评定标准；</w:t>
            </w:r>
          </w:p>
          <w:p>
            <w:pPr>
              <w:pStyle w:val="null3"/>
            </w:pPr>
            <w:r>
              <w:rPr>
                <w:rFonts w:ascii="仿宋_GB2312" w:hAnsi="仿宋_GB2312" w:cs="仿宋_GB2312" w:eastAsia="仿宋_GB2312"/>
              </w:rPr>
              <w:t>4</w:t>
            </w:r>
            <w:r>
              <w:rPr>
                <w:rFonts w:ascii="仿宋_GB2312" w:hAnsi="仿宋_GB2312" w:cs="仿宋_GB2312" w:eastAsia="仿宋_GB2312"/>
              </w:rPr>
              <w:t>、建设安全责任目标</w:t>
            </w:r>
          </w:p>
          <w:p>
            <w:pPr>
              <w:pStyle w:val="null3"/>
            </w:pPr>
            <w:r>
              <w:rPr>
                <w:rFonts w:ascii="仿宋_GB2312" w:hAnsi="仿宋_GB2312" w:cs="仿宋_GB2312" w:eastAsia="仿宋_GB2312"/>
              </w:rPr>
              <w:t>(1)</w:t>
            </w:r>
            <w:r>
              <w:rPr>
                <w:rFonts w:ascii="仿宋_GB2312" w:hAnsi="仿宋_GB2312" w:cs="仿宋_GB2312" w:eastAsia="仿宋_GB2312"/>
              </w:rPr>
              <w:t>协助管理建设工程无安全责任事故，成交供应商严格监督工程建设各方严格落实工程安全管理制度；</w:t>
            </w:r>
          </w:p>
          <w:p>
            <w:pPr>
              <w:pStyle w:val="null3"/>
            </w:pPr>
            <w:r>
              <w:rPr>
                <w:rFonts w:ascii="仿宋_GB2312" w:hAnsi="仿宋_GB2312" w:cs="仿宋_GB2312" w:eastAsia="仿宋_GB2312"/>
              </w:rPr>
              <w:t>(2)</w:t>
            </w:r>
            <w:r>
              <w:rPr>
                <w:rFonts w:ascii="仿宋_GB2312" w:hAnsi="仿宋_GB2312" w:cs="仿宋_GB2312" w:eastAsia="仿宋_GB2312"/>
              </w:rPr>
              <w:t>督促各方严格执行《安全生产法》、《建设工程安全产管理条例》和其他有关安全生产的法规，以及保障安全生产的有关规章、规定和标准，加强建设项目安全管理，监督检查承包人落实安全生产措施。</w:t>
            </w:r>
          </w:p>
          <w:p>
            <w:pPr>
              <w:pStyle w:val="null3"/>
            </w:pPr>
            <w:r>
              <w:rPr>
                <w:rFonts w:ascii="仿宋_GB2312" w:hAnsi="仿宋_GB2312" w:cs="仿宋_GB2312" w:eastAsia="仿宋_GB2312"/>
              </w:rPr>
              <w:t>5</w:t>
            </w:r>
            <w:r>
              <w:rPr>
                <w:rFonts w:ascii="仿宋_GB2312" w:hAnsi="仿宋_GB2312" w:cs="仿宋_GB2312" w:eastAsia="仿宋_GB2312"/>
              </w:rPr>
              <w:t>、建设行为责任目标</w:t>
            </w:r>
          </w:p>
          <w:p>
            <w:pPr>
              <w:pStyle w:val="null3"/>
            </w:pPr>
            <w:r>
              <w:rPr>
                <w:rFonts w:ascii="仿宋_GB2312" w:hAnsi="仿宋_GB2312" w:cs="仿宋_GB2312" w:eastAsia="仿宋_GB2312"/>
              </w:rPr>
              <w:t>(</w:t>
            </w:r>
            <w:r>
              <w:rPr>
                <w:rFonts w:ascii="仿宋_GB2312" w:hAnsi="仿宋_GB2312" w:cs="仿宋_GB2312" w:eastAsia="仿宋_GB2312"/>
              </w:rPr>
              <w:t>1)遵守国家关于市场准入、项目招标投标、工程建设、工程监理和市场活动等有关法律、法规及相关政策；严格执行建设工程合同、协议文件，自觉按合同办事；各项业务坚持公开、公正、诚信的原则，不得违反工程建设管理、施工安装、工程监理、 建设管理等规章制度。</w:t>
            </w:r>
          </w:p>
          <w:p>
            <w:pPr>
              <w:pStyle w:val="null3"/>
            </w:pPr>
            <w:r>
              <w:rPr>
                <w:rFonts w:ascii="仿宋_GB2312" w:hAnsi="仿宋_GB2312" w:cs="仿宋_GB2312" w:eastAsia="仿宋_GB2312"/>
              </w:rPr>
              <w:t>(2)建设管理全过程公开透明，杜绝暗箱操作，建设廉洁、优质、高效工程，预防腐败， 杜绝各类违法、违纪行为发生，加强项目管理和廉政建设，严格执行财务管理有关规定，做好建设项目协调工作。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竞争性磋商响应文件，同时，于开标前线下提交竞争性磋商响应文件纸质版正本一份，副本一份，电子U盘一份。竞争性磋商响应文件纸质版正本、副本与电子版一同密封，且在封袋正面标明“竞争性磋商响应文件纸质版”字样。封袋应加贴封条，并在封线处加盖供应商公章，封袋正面要粘贴供应商全称、项目名称、编号等标识。若电子竞争性磋商响应文件与纸质竞争性磋商响应文件不一致的，以电子竞争性磋商响应文件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合同签订之日起至项目竣工结算之日止的全过程代建服务。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代建管理费按每月实际完成产值为基数，按费率支付相应管理费用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未按合同或竞争性磋商文件要求提供服务质量不能满足采购人技术要求，采购人有权终止合同，并对供应商违约行为进行追究。具体违约情况及解决方法以实际签订合同为准。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支付方式按合同约定执行：代建管理费按每月实际完成产值为基数，支付相应管理费用。代建人申报支付申请后，建设单位在10个工作日内将满足合同和实际进度的月代建费支付给代建人。建设单位实际支付的代建管理费用，累计不得超过本项目代建管理费用的中标总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提供2023年度的财务审计报告，或开标前三个月内其基本存款账户开户银行出具的资信证明及基本存款账户开户许可证（基本存款账户信息）；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提供开标前近六个月内任意一个月的社会保障资金缴存单据或社保机构开具的社会保险参保缴费情况证明，依法不需要缴纳社会保障资金的单位应提供相关证明材料；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拟派项目经理具有中级及以上职称或具有任意一项注册证书（注册咨询师、注册监理工程师、注册建造师、注册结构工程师、注册造价工程师）；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响应文件签字盖章、格式</w:t>
            </w:r>
          </w:p>
        </w:tc>
        <w:tc>
          <w:tcPr>
            <w:tcW w:type="dxa" w:w="3322"/>
          </w:tcPr>
          <w:p>
            <w:pPr>
              <w:pStyle w:val="null3"/>
            </w:pPr>
            <w:r>
              <w:rPr>
                <w:rFonts w:ascii="仿宋_GB2312" w:hAnsi="仿宋_GB2312" w:cs="仿宋_GB2312" w:eastAsia="仿宋_GB2312"/>
              </w:rPr>
              <w:t>1.符合磋商文件要求，磋商响应文件上法定代表人或其授权代表人的签字齐全并加盖公章； 2.应符合“磋商响应文件格式”要求； 3.只能有一个有效报价，不得提交选择性报价，且报价不超过采购预算金额或最高限价； 4. 本项目专门面向中小企业，符合《政府采购促进中小企业发展管理办法》（财库〔2020〕46号）规定的中小企业需提供中小企业声明函。</w:t>
            </w:r>
          </w:p>
        </w:tc>
        <w:tc>
          <w:tcPr>
            <w:tcW w:type="dxa" w:w="1661"/>
          </w:tcPr>
          <w:p>
            <w:pPr>
              <w:pStyle w:val="null3"/>
            </w:pPr>
            <w:r>
              <w:rPr>
                <w:rFonts w:ascii="仿宋_GB2312" w:hAnsi="仿宋_GB2312" w:cs="仿宋_GB2312" w:eastAsia="仿宋_GB2312"/>
              </w:rPr>
              <w:t>业绩.docx 中小企业声明函 报价表 资格证明文件.docx 其他说明.docx 响应文件封面 磋商方案说明.docx 残疾人福利性单位声明函 陕西省政府采购拒绝贿赂承诺书.docx 标的清单 磋商分项报价表.docx 服务内容及服务邀请应答表.docx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标的清单 磋商分项报价表.docx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服务周期的响应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能提供具体详细、可行的项目实施方案，能够完全满足采购需求计10-15分，方案内容基本合理，可行 计5-9分，方案内容可行性差计1-4分，未提供不计分；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组织协调管理措施及合理化建议</w:t>
            </w:r>
          </w:p>
        </w:tc>
        <w:tc>
          <w:tcPr>
            <w:tcW w:type="dxa" w:w="2492"/>
          </w:tcPr>
          <w:p>
            <w:pPr>
              <w:pStyle w:val="null3"/>
            </w:pPr>
            <w:r>
              <w:rPr>
                <w:rFonts w:ascii="仿宋_GB2312" w:hAnsi="仿宋_GB2312" w:cs="仿宋_GB2312" w:eastAsia="仿宋_GB2312"/>
              </w:rPr>
              <w:t>针对本项目组织协调管理措施及合理化建议，措施全面，内容完整，条理清晰，建议可行计7-10分；措施一般，内容粗略，条理性差，建议与项目实施关联较差计4-6分；措施没有针对性和指导性，内容不全面，建议可行性差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安全管理的具体措施及合理化建议</w:t>
            </w:r>
          </w:p>
        </w:tc>
        <w:tc>
          <w:tcPr>
            <w:tcW w:type="dxa" w:w="2492"/>
          </w:tcPr>
          <w:p>
            <w:pPr>
              <w:pStyle w:val="null3"/>
            </w:pPr>
            <w:r>
              <w:rPr>
                <w:rFonts w:ascii="仿宋_GB2312" w:hAnsi="仿宋_GB2312" w:cs="仿宋_GB2312" w:eastAsia="仿宋_GB2312"/>
              </w:rPr>
              <w:t>针对本项目安全管理的具体措施及合理化建议，措施全面，内容完整，条理清晰，建议可行计7-10分；措施一般，内容粗略，条理性差，建议与项目实施关联较差计4-6分；措施没有针对性和指导性，内容不全面，建议可行性差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进度管理的具体措施及合理化建议</w:t>
            </w:r>
          </w:p>
        </w:tc>
        <w:tc>
          <w:tcPr>
            <w:tcW w:type="dxa" w:w="2492"/>
          </w:tcPr>
          <w:p>
            <w:pPr>
              <w:pStyle w:val="null3"/>
            </w:pPr>
            <w:r>
              <w:rPr>
                <w:rFonts w:ascii="仿宋_GB2312" w:hAnsi="仿宋_GB2312" w:cs="仿宋_GB2312" w:eastAsia="仿宋_GB2312"/>
              </w:rPr>
              <w:t>针对本项目进度管理的具体措施及合理化建议，措施全面，内容完整，条理清晰，建议可行计7-10分；措施一般，内容粗略，条理性差，建议与项目实施关联较差计4-6分；措施没有针对性和指导性，内容不全面，建议可行性差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针对本项目质量管理措施及合理化建议，措施全面，内容完整，条理清晰，建议可行计11-15分；措施 一般，内容粗略，条理性差，建议与项目实施关联较差计6-10分；措施没有针对性和指导性，内容不全面，建议可行性差计1-5分，未提供不计分；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组织机构设置完整，人员职责明确、分工安排清晰合理。提供项目组成员名单。根据拟投入本项目人员配置情况进行自主赋分。 完全满足本项目需求，计(15-20）分； 基本满足计(10-14）分； 欠缺计(5-9）分。 (提供相关证明材料并加盖公章)；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服务承诺，供应商针对本项目提供售后服务方案及相关承诺，根据响应优劣程度进行赋分。 良好计4-8分；一般计1-3分；未提供不得分；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提供2024年1月1日以来类似项目的业绩证明材料（每提供一份得1分）最高得2分。未提供不得分。（以成交通知书或合同签订时间为准，须提供成交通知书或合同复印件并加盖供应商公章）；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2.满足磋商文件实质性要求且最终报价最低的供应商的价格为磋商基准价，其价格分为满分10分。 3.磋商报价得分=（磋商基准价/最终磋商报价）×10的公式计算得分。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详见附件：陕西省政府采购拒绝贿赂承诺书.docx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