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054FEB">
      <w:pPr>
        <w:pStyle w:val="3"/>
        <w:bidi w:val="0"/>
        <w:jc w:val="center"/>
        <w:outlineLvl w:val="0"/>
        <w:rPr>
          <w:rFonts w:hint="eastAsia" w:ascii="宋体" w:hAnsi="宋体" w:eastAsia="宋体" w:cs="宋体"/>
          <w:lang w:val="en-US" w:eastAsia="zh-CN"/>
        </w:rPr>
      </w:pPr>
      <w:r>
        <w:rPr>
          <w:rFonts w:hint="eastAsia" w:ascii="宋体" w:hAnsi="宋体" w:eastAsia="宋体" w:cs="宋体"/>
          <w:lang w:val="en-US" w:eastAsia="zh-CN"/>
        </w:rPr>
        <w:t>供应商应提供的资格证明文件</w:t>
      </w:r>
    </w:p>
    <w:p w14:paraId="517AA747">
      <w:pPr>
        <w:keepNext w:val="0"/>
        <w:keepLines w:val="0"/>
        <w:pageBreakBefore w:val="0"/>
        <w:kinsoku/>
        <w:wordWrap/>
        <w:overflowPunct/>
        <w:topLinePunct w:val="0"/>
        <w:autoSpaceDE/>
        <w:autoSpaceDN/>
        <w:bidi w:val="0"/>
        <w:spacing w:line="460" w:lineRule="exact"/>
        <w:textAlignment w:val="auto"/>
        <w:rPr>
          <w:rFonts w:hint="eastAsia" w:ascii="宋体" w:hAnsi="宋体" w:cs="宋体"/>
          <w:b/>
          <w:bCs/>
          <w:color w:val="auto"/>
          <w:sz w:val="24"/>
        </w:rPr>
      </w:pPr>
      <w:r>
        <w:rPr>
          <w:rFonts w:hint="eastAsia" w:cs="宋体"/>
          <w:b/>
          <w:bCs/>
          <w:color w:val="auto"/>
          <w:sz w:val="24"/>
          <w:lang w:eastAsia="zh-CN"/>
        </w:rPr>
        <w:t>一、满足《中华人民共和国政府采购法》第二十二条规定</w:t>
      </w:r>
      <w:r>
        <w:rPr>
          <w:rFonts w:hint="eastAsia" w:ascii="宋体" w:hAnsi="宋体" w:cs="宋体"/>
          <w:b/>
          <w:bCs/>
          <w:color w:val="auto"/>
          <w:sz w:val="24"/>
        </w:rPr>
        <w:t>：</w:t>
      </w:r>
    </w:p>
    <w:p w14:paraId="4E4A43C5">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1、供应商应具有独立承担民事责</w:t>
      </w:r>
      <w:bookmarkStart w:id="36" w:name="_GoBack"/>
      <w:bookmarkEnd w:id="36"/>
      <w:r>
        <w:rPr>
          <w:rFonts w:hint="eastAsia" w:ascii="宋体" w:hAnsi="宋体" w:eastAsia="宋体" w:cs="宋体"/>
          <w:color w:val="auto"/>
          <w:sz w:val="24"/>
          <w:szCs w:val="24"/>
          <w:highlight w:val="none"/>
        </w:rPr>
        <w:t xml:space="preserve">任的能力的企业法人、事业法人、其他组织或自然人，出具合法有效的营业执照或事业单位法人证书等国家规定的相关证明，自然人参与的提供其身份证明； </w:t>
      </w:r>
    </w:p>
    <w:p w14:paraId="08BF2BCA">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财务状况报告：提供2023年度经审计的财务报告或2024年度完整的资产负债表、利润表、现金流量表、所有者权益变动表、附注或截至响应文件提交截止日一年内银行出具的资信证明（供应商注册时间截至响应文件提交截止日不足一年的，提供在工商管理部门备案的公司章程）；</w:t>
      </w:r>
    </w:p>
    <w:p w14:paraId="5F4FF742">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3、税收缴纳证明：提供供应商2024年4月至今已缴纳任意一个月完税凭证或税务机关开具的完税证明（任意税种）；依法免税的应提供相关文件证明；</w:t>
      </w:r>
    </w:p>
    <w:p w14:paraId="708D5445">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4、社会保障资金缴纳证明：提供供应商2024年4月至今已缴纳任意一个月的社会保障完税证明或社保机构开具的社会保险参保缴费情况证明；依法不需要缴纳社会保障资金的应提供相关文件证明； </w:t>
      </w:r>
    </w:p>
    <w:p w14:paraId="310499AB">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5、参加政府采购活动前3年内在经营活动中没有重大违法记录的书面声明；</w:t>
      </w:r>
    </w:p>
    <w:p w14:paraId="08C37A3F">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6、具有履行合同所必需的设备和专业技术能力的承诺函。</w:t>
      </w:r>
    </w:p>
    <w:p w14:paraId="576F2AAA">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二、本项目的特定资格要求：</w:t>
      </w:r>
    </w:p>
    <w:p w14:paraId="1CE23736">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1、具有合格有效的《医疗机构执业许可证》和《放射诊疗许可证》；</w:t>
      </w:r>
    </w:p>
    <w:p w14:paraId="707FE058">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2、未被列入“信用中国”网站及“中国政府采购网”网站失信被执行人、 重大税收违法案件当事人名单、政府采购严重违法失信行为记录名单；</w:t>
      </w:r>
    </w:p>
    <w:p w14:paraId="7C462654">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zh-CN" w:eastAsia="zh-CN"/>
        </w:rPr>
        <w:t>单位负责人为同一人或者存在直接控股、管理关系的不同供应商，不得参加同一合同项下的政府采购活动（</w:t>
      </w:r>
      <w:r>
        <w:rPr>
          <w:rFonts w:hint="eastAsia" w:ascii="宋体" w:hAnsi="宋体" w:eastAsia="宋体" w:cs="宋体"/>
          <w:color w:val="auto"/>
          <w:sz w:val="24"/>
          <w:szCs w:val="24"/>
          <w:highlight w:val="none"/>
          <w:lang w:val="en-US" w:eastAsia="zh-CN"/>
        </w:rPr>
        <w:t>格式2）</w:t>
      </w:r>
      <w:r>
        <w:rPr>
          <w:rFonts w:hint="eastAsia" w:ascii="宋体" w:hAnsi="宋体" w:eastAsia="宋体" w:cs="宋体"/>
          <w:color w:val="auto"/>
          <w:sz w:val="24"/>
          <w:szCs w:val="24"/>
          <w:highlight w:val="none"/>
          <w:lang w:val="zh-CN"/>
        </w:rPr>
        <w:t>。</w:t>
      </w:r>
    </w:p>
    <w:p w14:paraId="6BE83306">
      <w:pPr>
        <w:keepNext w:val="0"/>
        <w:keepLines w:val="0"/>
        <w:pageBreakBefore w:val="0"/>
        <w:widowControl/>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eastAsia="宋体" w:cs="宋体"/>
          <w:color w:val="auto"/>
          <w:sz w:val="24"/>
          <w:szCs w:val="24"/>
          <w:highlight w:val="none"/>
          <w:lang w:val="en-US" w:eastAsia="zh-CN"/>
        </w:rPr>
      </w:pPr>
      <w:bookmarkStart w:id="0" w:name="_Toc5736"/>
      <w:bookmarkStart w:id="1" w:name="_Toc3731"/>
    </w:p>
    <w:p w14:paraId="62E9005E">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79AF0EA7">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28574BB2">
      <w:pPr>
        <w:pStyle w:val="2"/>
        <w:rPr>
          <w:rFonts w:hint="eastAsia"/>
          <w:lang w:val="en-US" w:eastAsia="zh-CN"/>
        </w:rPr>
      </w:pPr>
    </w:p>
    <w:p w14:paraId="024B2697">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1878EBF4">
      <w:pPr>
        <w:widowControl/>
        <w:shd w:val="clear" w:color="auto" w:fill="FFFFFF"/>
        <w:spacing w:before="100" w:beforeAutospacing="1" w:after="100" w:afterAutospacing="1" w:line="360" w:lineRule="atLeast"/>
        <w:outlineLvl w:val="2"/>
        <w:rPr>
          <w:rFonts w:hint="eastAsia" w:ascii="宋体" w:hAnsi="宋体" w:eastAsia="Times New Roman" w:cs="宋体"/>
          <w:color w:val="auto"/>
          <w:sz w:val="24"/>
          <w:lang w:val="en-US" w:eastAsia="zh-CN"/>
        </w:rPr>
      </w:pPr>
    </w:p>
    <w:p w14:paraId="567EAB93">
      <w:pPr>
        <w:widowControl/>
        <w:shd w:val="clear" w:color="auto" w:fill="FFFFFF"/>
        <w:spacing w:before="100" w:beforeAutospacing="1" w:after="100" w:afterAutospacing="1" w:line="360" w:lineRule="atLeast"/>
        <w:outlineLvl w:val="2"/>
        <w:rPr>
          <w:rFonts w:hint="eastAsia" w:ascii="宋体" w:hAnsi="宋体" w:eastAsia="宋体" w:cs="宋体"/>
          <w:b/>
          <w:color w:val="auto"/>
          <w:szCs w:val="21"/>
          <w:highlight w:val="none"/>
        </w:rPr>
      </w:pPr>
      <w:r>
        <w:rPr>
          <w:rFonts w:hint="eastAsia" w:ascii="宋体" w:hAnsi="宋体" w:eastAsia="Times New Roman" w:cs="宋体"/>
          <w:color w:val="auto"/>
          <w:sz w:val="24"/>
          <w:lang w:val="en-US" w:eastAsia="zh-CN"/>
        </w:rPr>
        <w:t>格式1</w:t>
      </w:r>
      <w:bookmarkEnd w:id="0"/>
      <w:bookmarkEnd w:id="1"/>
    </w:p>
    <w:p w14:paraId="18D517AF">
      <w:pPr>
        <w:widowControl/>
        <w:shd w:val="clear" w:color="auto" w:fill="FFFFFF"/>
        <w:spacing w:before="100" w:beforeAutospacing="1" w:after="100" w:afterAutospacing="1" w:line="340" w:lineRule="exact"/>
        <w:jc w:val="center"/>
        <w:outlineLvl w:val="1"/>
        <w:rPr>
          <w:rFonts w:hint="eastAsia" w:ascii="宋体" w:hAnsi="宋体" w:eastAsia="宋体" w:cs="宋体"/>
          <w:b/>
          <w:bCs/>
          <w:color w:val="auto"/>
          <w:kern w:val="0"/>
          <w:sz w:val="28"/>
          <w:szCs w:val="28"/>
          <w:highlight w:val="none"/>
          <w:lang w:val="en-US" w:eastAsia="zh-CN"/>
        </w:rPr>
      </w:pPr>
      <w:r>
        <w:rPr>
          <w:rFonts w:hint="eastAsia" w:ascii="宋体" w:hAnsi="宋体" w:eastAsia="宋体" w:cs="宋体"/>
          <w:b/>
          <w:bCs/>
          <w:color w:val="auto"/>
          <w:kern w:val="0"/>
          <w:sz w:val="28"/>
          <w:szCs w:val="28"/>
          <w:highlight w:val="none"/>
          <w:lang w:val="en-US" w:eastAsia="zh-CN"/>
        </w:rPr>
        <w:t>无重大违法记录声明</w:t>
      </w:r>
    </w:p>
    <w:p w14:paraId="6C21360A">
      <w:pPr>
        <w:pStyle w:val="4"/>
        <w:spacing w:after="0" w:line="400" w:lineRule="exact"/>
        <w:rPr>
          <w:rFonts w:hint="eastAsia" w:ascii="宋体" w:hAnsi="宋体" w:eastAsia="宋体" w:cs="宋体"/>
          <w:color w:val="auto"/>
          <w:highlight w:val="none"/>
          <w:lang w:val="en-US" w:eastAsia="zh-CN"/>
        </w:rPr>
      </w:pPr>
    </w:p>
    <w:p w14:paraId="302C2671">
      <w:pPr>
        <w:pStyle w:val="4"/>
        <w:keepNext w:val="0"/>
        <w:keepLines w:val="0"/>
        <w:pageBreakBefore w:val="0"/>
        <w:widowControl w:val="0"/>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（采购人）</w:t>
      </w:r>
      <w:r>
        <w:rPr>
          <w:rFonts w:hint="eastAsia" w:ascii="宋体" w:hAnsi="宋体" w:eastAsia="宋体" w:cs="宋体"/>
          <w:color w:val="auto"/>
          <w:sz w:val="24"/>
          <w:szCs w:val="24"/>
          <w:highlight w:val="none"/>
        </w:rPr>
        <w:t>：</w:t>
      </w:r>
    </w:p>
    <w:p w14:paraId="3F67E2D8">
      <w:pPr>
        <w:pStyle w:val="4"/>
        <w:keepNext w:val="0"/>
        <w:keepLines w:val="0"/>
        <w:pageBreakBefore w:val="0"/>
        <w:widowControl w:val="0"/>
        <w:tabs>
          <w:tab w:val="left" w:pos="7198"/>
        </w:tabs>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pacing w:val="4"/>
          <w:sz w:val="24"/>
          <w:szCs w:val="24"/>
          <w:highlight w:val="none"/>
          <w:u w:val="single"/>
        </w:rPr>
        <w:t>名</w:t>
      </w:r>
      <w:r>
        <w:rPr>
          <w:rFonts w:hint="eastAsia" w:ascii="宋体" w:hAnsi="宋体" w:eastAsia="宋体" w:cs="宋体"/>
          <w:color w:val="auto"/>
          <w:sz w:val="24"/>
          <w:szCs w:val="24"/>
          <w:highlight w:val="none"/>
          <w:u w:val="single"/>
        </w:rPr>
        <w:t>称》</w:t>
      </w:r>
      <w:r>
        <w:rPr>
          <w:rFonts w:hint="eastAsia" w:ascii="宋体" w:hAnsi="宋体" w:eastAsia="宋体" w:cs="宋体"/>
          <w:color w:val="auto"/>
          <w:sz w:val="24"/>
          <w:szCs w:val="24"/>
          <w:highlight w:val="none"/>
        </w:rPr>
        <w:t>（项目编号</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5"/>
          <w:sz w:val="24"/>
          <w:szCs w:val="24"/>
          <w:highlight w:val="none"/>
          <w:u w:val="single"/>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pacing w:val="4"/>
          <w:sz w:val="24"/>
          <w:szCs w:val="24"/>
          <w:highlight w:val="none"/>
        </w:rPr>
        <w:t>投</w:t>
      </w:r>
      <w:r>
        <w:rPr>
          <w:rFonts w:hint="eastAsia" w:ascii="宋体" w:hAnsi="宋体" w:eastAsia="宋体" w:cs="宋体"/>
          <w:color w:val="auto"/>
          <w:sz w:val="24"/>
          <w:szCs w:val="24"/>
          <w:highlight w:val="none"/>
        </w:rPr>
        <w:t>标供应商</w:t>
      </w:r>
      <w:r>
        <w:rPr>
          <w:rFonts w:hint="eastAsia" w:ascii="宋体" w:hAnsi="宋体" w:eastAsia="宋体" w:cs="宋体"/>
          <w:color w:val="auto"/>
          <w:spacing w:val="-14"/>
          <w:sz w:val="24"/>
          <w:szCs w:val="24"/>
          <w:highlight w:val="none"/>
        </w:rPr>
        <w:t xml:space="preserve">， </w:t>
      </w:r>
      <w:r>
        <w:rPr>
          <w:rFonts w:hint="eastAsia" w:ascii="宋体" w:hAnsi="宋体" w:eastAsia="宋体" w:cs="宋体"/>
          <w:color w:val="auto"/>
          <w:sz w:val="24"/>
          <w:szCs w:val="24"/>
          <w:highlight w:val="none"/>
        </w:rPr>
        <w:t>在此郑重声明：</w:t>
      </w:r>
    </w:p>
    <w:p w14:paraId="1AE02039">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jc w:val="both"/>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1、在参加本次政府采购活动前 3 年内的经营活动中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（填“没有”或“有”）重大违法记录。供应</w:t>
      </w:r>
      <w:r>
        <w:rPr>
          <w:rFonts w:hint="eastAsia" w:ascii="宋体" w:hAnsi="宋体" w:eastAsia="宋体" w:cs="宋体"/>
          <w:b/>
          <w:color w:val="auto"/>
          <w:sz w:val="24"/>
          <w:szCs w:val="24"/>
          <w:highlight w:val="none"/>
        </w:rPr>
        <w:t>商在参加政府采购活动前 3 年内因违法经营被禁止在一定期限内参加政府采购活动，期限届满的，可以参加政府采购活动，但应提供期限届满的证明材料。</w:t>
      </w:r>
    </w:p>
    <w:p w14:paraId="7C3635DF">
      <w:pPr>
        <w:pStyle w:val="4"/>
        <w:keepNext w:val="0"/>
        <w:keepLines w:val="0"/>
        <w:pageBreakBefore w:val="0"/>
        <w:widowControl w:val="0"/>
        <w:tabs>
          <w:tab w:val="left" w:pos="2815"/>
        </w:tabs>
        <w:kinsoku/>
        <w:wordWrap/>
        <w:overflowPunct/>
        <w:topLinePunct w:val="0"/>
        <w:autoSpaceDE w:val="0"/>
        <w:autoSpaceDN w:val="0"/>
        <w:bidi w:val="0"/>
        <w:adjustRightInd w:val="0"/>
        <w:snapToGrid/>
        <w:spacing w:after="0" w:line="360" w:lineRule="auto"/>
        <w:ind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（填“未被列入”或</w:t>
      </w:r>
      <w:r>
        <w:rPr>
          <w:rFonts w:hint="eastAsia" w:ascii="宋体" w:hAnsi="宋体" w:eastAsia="宋体" w:cs="宋体"/>
          <w:color w:val="auto"/>
          <w:spacing w:val="4"/>
          <w:sz w:val="24"/>
          <w:szCs w:val="24"/>
          <w:highlight w:val="none"/>
        </w:rPr>
        <w:t>“</w:t>
      </w:r>
      <w:r>
        <w:rPr>
          <w:rFonts w:hint="eastAsia" w:ascii="宋体" w:hAnsi="宋体" w:eastAsia="宋体" w:cs="宋体"/>
          <w:color w:val="auto"/>
          <w:sz w:val="24"/>
          <w:szCs w:val="24"/>
          <w:highlight w:val="none"/>
        </w:rPr>
        <w:t>被列入”）失信</w:t>
      </w:r>
      <w:r>
        <w:rPr>
          <w:rFonts w:hint="eastAsia" w:ascii="宋体" w:hAnsi="宋体" w:eastAsia="宋体" w:cs="宋体"/>
          <w:color w:val="auto"/>
          <w:spacing w:val="4"/>
          <w:sz w:val="24"/>
          <w:szCs w:val="24"/>
          <w:highlight w:val="none"/>
        </w:rPr>
        <w:t>被</w:t>
      </w:r>
      <w:r>
        <w:rPr>
          <w:rFonts w:hint="eastAsia" w:ascii="宋体" w:hAnsi="宋体" w:eastAsia="宋体" w:cs="宋体"/>
          <w:color w:val="auto"/>
          <w:sz w:val="24"/>
          <w:szCs w:val="24"/>
          <w:highlight w:val="none"/>
        </w:rPr>
        <w:t>执行人名单。</w:t>
      </w:r>
    </w:p>
    <w:p w14:paraId="3EF9C97F">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3</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w:t>
      </w:r>
      <w:r>
        <w:rPr>
          <w:rFonts w:hint="eastAsia" w:ascii="宋体" w:hAnsi="宋体" w:eastAsia="宋体" w:cs="宋体"/>
          <w:color w:val="auto"/>
          <w:spacing w:val="8"/>
          <w:sz w:val="24"/>
          <w:szCs w:val="24"/>
          <w:highlight w:val="none"/>
        </w:rPr>
        <w:t>列</w:t>
      </w:r>
      <w:r>
        <w:rPr>
          <w:rFonts w:hint="eastAsia" w:ascii="宋体" w:hAnsi="宋体" w:eastAsia="宋体" w:cs="宋体"/>
          <w:color w:val="auto"/>
          <w:spacing w:val="7"/>
          <w:sz w:val="24"/>
          <w:szCs w:val="24"/>
          <w:highlight w:val="none"/>
        </w:rPr>
        <w:t>入”）重</w:t>
      </w:r>
      <w:r>
        <w:rPr>
          <w:rFonts w:hint="eastAsia" w:ascii="宋体" w:hAnsi="宋体" w:eastAsia="宋体" w:cs="宋体"/>
          <w:color w:val="auto"/>
          <w:spacing w:val="9"/>
          <w:sz w:val="24"/>
          <w:szCs w:val="24"/>
          <w:highlight w:val="none"/>
        </w:rPr>
        <w:t>大</w:t>
      </w:r>
      <w:r>
        <w:rPr>
          <w:rFonts w:hint="eastAsia" w:ascii="宋体" w:hAnsi="宋体" w:eastAsia="宋体" w:cs="宋体"/>
          <w:color w:val="auto"/>
          <w:spacing w:val="7"/>
          <w:sz w:val="24"/>
          <w:szCs w:val="24"/>
          <w:highlight w:val="none"/>
        </w:rPr>
        <w:t>税收违法案</w:t>
      </w:r>
      <w:r>
        <w:rPr>
          <w:rFonts w:hint="eastAsia" w:ascii="宋体" w:hAnsi="宋体" w:eastAsia="宋体" w:cs="宋体"/>
          <w:color w:val="auto"/>
          <w:spacing w:val="-15"/>
          <w:sz w:val="24"/>
          <w:szCs w:val="24"/>
          <w:highlight w:val="none"/>
        </w:rPr>
        <w:t>件</w:t>
      </w:r>
      <w:r>
        <w:rPr>
          <w:rFonts w:hint="eastAsia" w:ascii="宋体" w:hAnsi="宋体" w:eastAsia="宋体" w:cs="宋体"/>
          <w:color w:val="auto"/>
          <w:sz w:val="24"/>
          <w:szCs w:val="24"/>
          <w:highlight w:val="none"/>
        </w:rPr>
        <w:t>当事人名单。</w:t>
      </w:r>
    </w:p>
    <w:p w14:paraId="58EF6AE7">
      <w:pPr>
        <w:pStyle w:val="4"/>
        <w:keepNext w:val="0"/>
        <w:keepLines w:val="0"/>
        <w:pageBreakBefore w:val="0"/>
        <w:widowControl w:val="0"/>
        <w:tabs>
          <w:tab w:val="left" w:pos="2844"/>
        </w:tabs>
        <w:kinsoku/>
        <w:wordWrap/>
        <w:overflowPunct/>
        <w:topLinePunct w:val="0"/>
        <w:autoSpaceDE w:val="0"/>
        <w:autoSpaceDN w:val="0"/>
        <w:bidi w:val="0"/>
        <w:adjustRightInd w:val="0"/>
        <w:snapToGrid/>
        <w:spacing w:after="0" w:line="360" w:lineRule="auto"/>
        <w:ind w:firstLine="504"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4</w:t>
      </w:r>
      <w:r>
        <w:rPr>
          <w:rFonts w:hint="eastAsia" w:ascii="宋体" w:hAnsi="宋体" w:eastAsia="宋体" w:cs="宋体"/>
          <w:color w:val="auto"/>
          <w:spacing w:val="7"/>
          <w:sz w:val="24"/>
          <w:szCs w:val="24"/>
          <w:highlight w:val="none"/>
        </w:rPr>
        <w:t>、我</w:t>
      </w:r>
      <w:r>
        <w:rPr>
          <w:rFonts w:hint="eastAsia" w:ascii="宋体" w:hAnsi="宋体" w:eastAsia="宋体" w:cs="宋体"/>
          <w:color w:val="auto"/>
          <w:spacing w:val="4"/>
          <w:sz w:val="24"/>
          <w:szCs w:val="24"/>
          <w:highlight w:val="none"/>
        </w:rPr>
        <w:t>方</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rPr>
        <w:tab/>
      </w:r>
      <w:r>
        <w:rPr>
          <w:rFonts w:hint="eastAsia" w:ascii="宋体" w:hAnsi="宋体" w:eastAsia="宋体" w:cs="宋体"/>
          <w:color w:val="auto"/>
          <w:spacing w:val="7"/>
          <w:sz w:val="24"/>
          <w:szCs w:val="24"/>
          <w:highlight w:val="none"/>
        </w:rPr>
        <w:t>（填“未被列入”</w:t>
      </w:r>
      <w:r>
        <w:rPr>
          <w:rFonts w:hint="eastAsia" w:ascii="宋体" w:hAnsi="宋体" w:eastAsia="宋体" w:cs="宋体"/>
          <w:color w:val="auto"/>
          <w:spacing w:val="9"/>
          <w:sz w:val="24"/>
          <w:szCs w:val="24"/>
          <w:highlight w:val="none"/>
        </w:rPr>
        <w:t>或</w:t>
      </w:r>
      <w:r>
        <w:rPr>
          <w:rFonts w:hint="eastAsia" w:ascii="宋体" w:hAnsi="宋体" w:eastAsia="宋体" w:cs="宋体"/>
          <w:color w:val="auto"/>
          <w:spacing w:val="7"/>
          <w:sz w:val="24"/>
          <w:szCs w:val="24"/>
          <w:highlight w:val="none"/>
        </w:rPr>
        <w:t>“被列入”）政</w:t>
      </w:r>
      <w:r>
        <w:rPr>
          <w:rFonts w:hint="eastAsia" w:ascii="宋体" w:hAnsi="宋体" w:eastAsia="宋体" w:cs="宋体"/>
          <w:color w:val="auto"/>
          <w:spacing w:val="9"/>
          <w:sz w:val="24"/>
          <w:szCs w:val="24"/>
          <w:highlight w:val="none"/>
        </w:rPr>
        <w:t>府</w:t>
      </w:r>
      <w:r>
        <w:rPr>
          <w:rFonts w:hint="eastAsia" w:ascii="宋体" w:hAnsi="宋体" w:eastAsia="宋体" w:cs="宋体"/>
          <w:color w:val="auto"/>
          <w:spacing w:val="7"/>
          <w:sz w:val="24"/>
          <w:szCs w:val="24"/>
          <w:highlight w:val="none"/>
        </w:rPr>
        <w:t>采购严重违</w:t>
      </w:r>
      <w:r>
        <w:rPr>
          <w:rFonts w:hint="eastAsia" w:ascii="宋体" w:hAnsi="宋体" w:eastAsia="宋体" w:cs="宋体"/>
          <w:color w:val="auto"/>
          <w:spacing w:val="-6"/>
          <w:sz w:val="24"/>
          <w:szCs w:val="24"/>
          <w:highlight w:val="none"/>
        </w:rPr>
        <w:t>法</w:t>
      </w:r>
      <w:r>
        <w:rPr>
          <w:rFonts w:hint="eastAsia" w:ascii="宋体" w:hAnsi="宋体" w:eastAsia="宋体" w:cs="宋体"/>
          <w:color w:val="auto"/>
          <w:sz w:val="24"/>
          <w:szCs w:val="24"/>
          <w:highlight w:val="none"/>
        </w:rPr>
        <w:t>失信行为记录名</w:t>
      </w:r>
      <w:r>
        <w:rPr>
          <w:rFonts w:hint="eastAsia" w:ascii="宋体" w:hAnsi="宋体" w:eastAsia="宋体" w:cs="宋体"/>
          <w:color w:val="auto"/>
          <w:spacing w:val="4"/>
          <w:sz w:val="24"/>
          <w:szCs w:val="24"/>
          <w:highlight w:val="none"/>
        </w:rPr>
        <w:t>单</w:t>
      </w:r>
      <w:r>
        <w:rPr>
          <w:rFonts w:hint="eastAsia" w:ascii="宋体" w:hAnsi="宋体" w:eastAsia="宋体" w:cs="宋体"/>
          <w:color w:val="auto"/>
          <w:sz w:val="24"/>
          <w:szCs w:val="24"/>
          <w:highlight w:val="none"/>
        </w:rPr>
        <w:t>。</w:t>
      </w:r>
    </w:p>
    <w:p w14:paraId="1698035B">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0CE2D481">
      <w:pPr>
        <w:pStyle w:val="4"/>
        <w:keepNext w:val="0"/>
        <w:keepLines w:val="0"/>
        <w:pageBreakBefore w:val="0"/>
        <w:widowControl w:val="0"/>
        <w:kinsoku/>
        <w:wordWrap/>
        <w:overflowPunct/>
        <w:topLinePunct w:val="0"/>
        <w:autoSpaceDE w:val="0"/>
        <w:autoSpaceDN w:val="0"/>
        <w:bidi w:val="0"/>
        <w:adjustRightInd w:val="0"/>
        <w:snapToGrid/>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5F2B9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6FBF25E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rPr>
        <w:tab/>
      </w:r>
    </w:p>
    <w:p w14:paraId="463E7CA4">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ind w:firstLine="4560" w:firstLineChars="1900"/>
        <w:textAlignment w:val="auto"/>
        <w:rPr>
          <w:rFonts w:hint="eastAsia" w:ascii="宋体" w:hAnsi="宋体" w:eastAsia="宋体" w:cs="宋体"/>
          <w:color w:val="auto"/>
          <w:sz w:val="24"/>
          <w:szCs w:val="24"/>
          <w:highlight w:val="none"/>
        </w:rPr>
      </w:pPr>
    </w:p>
    <w:p w14:paraId="33890C31">
      <w:pPr>
        <w:pStyle w:val="4"/>
        <w:keepNext w:val="0"/>
        <w:keepLines w:val="0"/>
        <w:pageBreakBefore w:val="0"/>
        <w:widowControl w:val="0"/>
        <w:tabs>
          <w:tab w:val="left" w:pos="2378"/>
          <w:tab w:val="left" w:pos="2945"/>
          <w:tab w:val="left" w:pos="3514"/>
          <w:tab w:val="left" w:pos="4649"/>
        </w:tabs>
        <w:kinsoku/>
        <w:wordWrap/>
        <w:overflowPunct/>
        <w:topLinePunct w:val="0"/>
        <w:autoSpaceDE w:val="0"/>
        <w:autoSpaceDN w:val="0"/>
        <w:bidi w:val="0"/>
        <w:adjustRightInd w:val="0"/>
        <w:snapToGrid/>
        <w:spacing w:after="0" w:line="360" w:lineRule="auto"/>
        <w:textAlignment w:val="auto"/>
        <w:rPr>
          <w:rFonts w:hint="eastAsia" w:ascii="宋体" w:hAnsi="宋体" w:eastAsia="宋体" w:cs="宋体"/>
          <w:color w:val="auto"/>
          <w:spacing w:val="-11"/>
          <w:sz w:val="24"/>
          <w:szCs w:val="24"/>
          <w:highlight w:val="none"/>
          <w:lang w:val="en-US" w:eastAsia="zh-CN"/>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pacing w:val="3"/>
          <w:sz w:val="24"/>
          <w:szCs w:val="24"/>
          <w:highlight w:val="none"/>
        </w:rPr>
        <w:t>：</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u w:val="single"/>
          <w:lang w:val="en-US" w:eastAsia="zh-CN"/>
        </w:rPr>
        <w:t xml:space="preserve">  </w:t>
      </w:r>
      <w:r>
        <w:rPr>
          <w:rFonts w:hint="eastAsia" w:ascii="宋体" w:hAnsi="宋体" w:eastAsia="宋体" w:cs="宋体"/>
          <w:color w:val="auto"/>
          <w:spacing w:val="3"/>
          <w:sz w:val="24"/>
          <w:szCs w:val="24"/>
          <w:highlight w:val="none"/>
          <w:u w:val="single"/>
        </w:rPr>
        <w:t xml:space="preserve"> </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eastAsia="宋体" w:cs="宋体"/>
          <w:color w:val="auto"/>
          <w:spacing w:val="-11"/>
          <w:sz w:val="24"/>
          <w:szCs w:val="24"/>
          <w:highlight w:val="none"/>
        </w:rPr>
        <w:t xml:space="preserve">） </w:t>
      </w:r>
      <w:r>
        <w:rPr>
          <w:rFonts w:hint="eastAsia" w:ascii="宋体" w:hAnsi="宋体" w:eastAsia="宋体" w:cs="宋体"/>
          <w:color w:val="auto"/>
          <w:spacing w:val="-11"/>
          <w:sz w:val="24"/>
          <w:szCs w:val="24"/>
          <w:highlight w:val="none"/>
          <w:lang w:val="en-US" w:eastAsia="zh-CN"/>
        </w:rPr>
        <w:t xml:space="preserve">         </w:t>
      </w:r>
    </w:p>
    <w:p w14:paraId="268070DF">
      <w:pPr>
        <w:keepNext w:val="0"/>
        <w:keepLines w:val="0"/>
        <w:pageBreakBefore w:val="0"/>
        <w:widowControl/>
        <w:shd w:val="clear" w:color="auto" w:fill="FFFFFF"/>
        <w:kinsoku/>
        <w:wordWrap/>
        <w:overflowPunct/>
        <w:topLinePunct w:val="0"/>
        <w:bidi w:val="0"/>
        <w:snapToGrid/>
        <w:spacing w:before="100" w:beforeAutospacing="1" w:after="100" w:afterAutospacing="1"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日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52327ACA">
      <w:pPr>
        <w:widowControl/>
        <w:shd w:val="clear" w:color="auto" w:fill="FFFFFF"/>
        <w:spacing w:before="100" w:beforeAutospacing="1" w:after="100" w:afterAutospacing="1" w:line="360" w:lineRule="atLeast"/>
        <w:rPr>
          <w:rFonts w:hint="eastAsia" w:ascii="宋体" w:hAnsi="宋体" w:eastAsia="宋体" w:cs="宋体"/>
          <w:color w:val="auto"/>
          <w:sz w:val="24"/>
          <w:szCs w:val="24"/>
          <w:highlight w:val="none"/>
        </w:rPr>
      </w:pPr>
    </w:p>
    <w:p w14:paraId="7D47E4B8">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1229C0CF">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4DD282EF">
      <w:pPr>
        <w:widowControl/>
        <w:shd w:val="clear" w:color="auto" w:fill="FFFFFF"/>
        <w:spacing w:before="100" w:beforeAutospacing="1" w:after="100" w:afterAutospacing="1" w:line="360" w:lineRule="atLeast"/>
        <w:rPr>
          <w:rFonts w:hint="eastAsia" w:ascii="宋体" w:hAnsi="宋体" w:cs="宋体"/>
          <w:color w:val="auto"/>
          <w:sz w:val="24"/>
          <w:lang w:val="en-US" w:eastAsia="zh-CN"/>
        </w:rPr>
      </w:pPr>
    </w:p>
    <w:p w14:paraId="5BFBF4B5">
      <w:pPr>
        <w:widowControl/>
        <w:shd w:val="clear" w:color="auto" w:fill="FFFFFF"/>
        <w:spacing w:before="100" w:beforeAutospacing="1" w:after="100" w:afterAutospacing="1" w:line="360" w:lineRule="atLeast"/>
        <w:rPr>
          <w:rFonts w:hint="eastAsia" w:ascii="宋体" w:hAnsi="宋体" w:eastAsia="宋体" w:cs="宋体"/>
          <w:color w:val="auto"/>
          <w:sz w:val="24"/>
          <w:lang w:eastAsia="zh-CN"/>
        </w:rPr>
      </w:pPr>
      <w:r>
        <w:rPr>
          <w:rFonts w:hint="eastAsia" w:ascii="宋体" w:hAnsi="宋体" w:cs="宋体"/>
          <w:color w:val="auto"/>
          <w:sz w:val="24"/>
          <w:lang w:val="en-US" w:eastAsia="zh-CN"/>
        </w:rPr>
        <w:t>格式2</w:t>
      </w:r>
    </w:p>
    <w:p w14:paraId="5B5F32E1">
      <w:pPr>
        <w:widowControl/>
        <w:shd w:val="clear" w:color="auto" w:fill="FFFFFF"/>
        <w:spacing w:before="100" w:beforeAutospacing="1" w:after="100" w:afterAutospacing="1" w:line="360" w:lineRule="atLeast"/>
        <w:jc w:val="center"/>
        <w:outlineLvl w:val="0"/>
        <w:rPr>
          <w:rFonts w:hint="eastAsia" w:ascii="宋体" w:hAnsi="宋体" w:cs="宋体"/>
          <w:color w:val="auto"/>
          <w:kern w:val="0"/>
          <w:sz w:val="32"/>
          <w:szCs w:val="32"/>
        </w:rPr>
      </w:pPr>
      <w:bookmarkStart w:id="2" w:name="_Toc9094"/>
      <w:bookmarkStart w:id="3" w:name="_Toc25279"/>
      <w:bookmarkStart w:id="4" w:name="_Toc12445"/>
      <w:bookmarkStart w:id="5" w:name="_Toc30687"/>
      <w:bookmarkStart w:id="6" w:name="_Toc13537"/>
      <w:bookmarkStart w:id="7" w:name="_Toc28343"/>
      <w:bookmarkStart w:id="8" w:name="_Toc14168"/>
      <w:bookmarkStart w:id="9" w:name="_Toc19234"/>
      <w:r>
        <w:rPr>
          <w:rFonts w:hint="eastAsia" w:ascii="宋体" w:hAnsi="宋体" w:cs="宋体"/>
          <w:b/>
          <w:bCs/>
          <w:color w:val="auto"/>
          <w:kern w:val="0"/>
          <w:sz w:val="32"/>
          <w:szCs w:val="32"/>
          <w:lang w:eastAsia="zh-CN"/>
        </w:rPr>
        <w:t>供应商</w:t>
      </w:r>
      <w:r>
        <w:rPr>
          <w:rFonts w:hint="eastAsia" w:ascii="宋体" w:hAnsi="宋体" w:cs="宋体"/>
          <w:b/>
          <w:bCs/>
          <w:color w:val="auto"/>
          <w:kern w:val="0"/>
          <w:sz w:val="32"/>
          <w:szCs w:val="32"/>
        </w:rPr>
        <w:t>企业关系关联承诺书</w:t>
      </w:r>
      <w:bookmarkEnd w:id="2"/>
      <w:bookmarkEnd w:id="3"/>
      <w:bookmarkEnd w:id="4"/>
      <w:bookmarkEnd w:id="5"/>
      <w:bookmarkEnd w:id="6"/>
      <w:bookmarkEnd w:id="7"/>
      <w:bookmarkEnd w:id="8"/>
      <w:bookmarkEnd w:id="9"/>
    </w:p>
    <w:p w14:paraId="70FC69E9">
      <w:pPr>
        <w:autoSpaceDE w:val="0"/>
        <w:autoSpaceDN w:val="0"/>
        <w:adjustRightInd w:val="0"/>
        <w:spacing w:line="360" w:lineRule="auto"/>
        <w:ind w:firstLine="480" w:firstLineChars="200"/>
        <w:jc w:val="left"/>
        <w:rPr>
          <w:rFonts w:hint="eastAsia" w:ascii="宋体" w:hAnsi="宋体" w:eastAsia="宋体"/>
          <w:color w:val="auto"/>
          <w:szCs w:val="21"/>
          <w:lang w:val="zh-CN" w:eastAsia="zh-CN"/>
        </w:rPr>
      </w:pPr>
      <w:r>
        <w:rPr>
          <w:rFonts w:hint="eastAsia" w:ascii="宋体" w:hAnsi="宋体" w:cs="宋体"/>
          <w:color w:val="auto"/>
          <w:kern w:val="0"/>
          <w:sz w:val="24"/>
        </w:rPr>
        <w:t>1、</w:t>
      </w:r>
      <w:r>
        <w:rPr>
          <w:rFonts w:hint="eastAsia" w:ascii="宋体" w:hAnsi="宋体"/>
          <w:color w:val="auto"/>
          <w:szCs w:val="21"/>
          <w:lang w:val="zh-CN"/>
        </w:rPr>
        <w:t>我方承诺，</w:t>
      </w:r>
      <w:r>
        <w:rPr>
          <w:rFonts w:hint="eastAsia" w:cs="宋体"/>
          <w:color w:val="auto"/>
          <w:kern w:val="0"/>
          <w:sz w:val="24"/>
          <w:lang w:val="en-US" w:eastAsia="zh-CN"/>
        </w:rPr>
        <w:t>我</w:t>
      </w:r>
      <w:r>
        <w:rPr>
          <w:rFonts w:hint="eastAsia" w:ascii="宋体" w:hAnsi="宋体" w:cs="宋体"/>
          <w:color w:val="auto"/>
          <w:kern w:val="0"/>
          <w:sz w:val="24"/>
        </w:rPr>
        <w:t>单位在本项目投标中，不存在与其它</w:t>
      </w:r>
      <w:r>
        <w:rPr>
          <w:rFonts w:hint="eastAsia" w:ascii="宋体" w:hAnsi="宋体" w:eastAsia="宋体" w:cs="宋体"/>
          <w:color w:val="auto"/>
          <w:kern w:val="0"/>
          <w:sz w:val="24"/>
          <w:lang w:eastAsia="zh-CN"/>
        </w:rPr>
        <w:t>供应商</w:t>
      </w:r>
      <w:r>
        <w:rPr>
          <w:rFonts w:hint="eastAsia" w:ascii="宋体" w:hAnsi="宋体" w:cs="宋体"/>
          <w:color w:val="auto"/>
          <w:kern w:val="0"/>
          <w:sz w:val="24"/>
        </w:rPr>
        <w:t>负责人为同一人，有控股、管理等关联关系</w:t>
      </w:r>
      <w:r>
        <w:rPr>
          <w:rFonts w:hint="eastAsia" w:ascii="宋体" w:hAnsi="宋体" w:eastAsia="宋体" w:cs="宋体"/>
          <w:color w:val="auto"/>
          <w:kern w:val="0"/>
          <w:sz w:val="24"/>
          <w:lang w:eastAsia="zh-CN"/>
        </w:rPr>
        <w:t>。</w:t>
      </w:r>
    </w:p>
    <w:p w14:paraId="7F44EDA3">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0" w:name="_Toc30201"/>
      <w:bookmarkStart w:id="11" w:name="_Toc27929"/>
      <w:bookmarkStart w:id="12" w:name="_Toc1421"/>
      <w:bookmarkStart w:id="13" w:name="_Toc15963"/>
      <w:bookmarkStart w:id="14" w:name="_Toc29753"/>
      <w:bookmarkStart w:id="15" w:name="_Toc23178"/>
      <w:bookmarkStart w:id="16" w:name="_Toc15744"/>
      <w:bookmarkStart w:id="17" w:name="_Toc11320"/>
      <w:r>
        <w:rPr>
          <w:rFonts w:hint="eastAsia" w:ascii="宋体" w:hAnsi="宋体" w:cs="宋体"/>
          <w:color w:val="auto"/>
          <w:kern w:val="0"/>
          <w:sz w:val="24"/>
        </w:rPr>
        <w:t>2-1、管理关系说明：</w:t>
      </w:r>
      <w:bookmarkEnd w:id="10"/>
      <w:bookmarkEnd w:id="11"/>
      <w:bookmarkEnd w:id="12"/>
      <w:bookmarkEnd w:id="13"/>
      <w:bookmarkEnd w:id="14"/>
      <w:bookmarkEnd w:id="15"/>
      <w:bookmarkEnd w:id="16"/>
      <w:bookmarkEnd w:id="17"/>
    </w:p>
    <w:p w14:paraId="1269D8D2">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我单位管理的具有独立法人的下属单位有：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048AF889">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我单位的上级管理单位有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2B3ADE46">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18" w:name="_Toc29019"/>
      <w:bookmarkStart w:id="19" w:name="_Toc24124"/>
      <w:bookmarkStart w:id="20" w:name="_Toc21024"/>
      <w:bookmarkStart w:id="21" w:name="_Toc15775"/>
      <w:bookmarkStart w:id="22" w:name="_Toc12127"/>
      <w:bookmarkStart w:id="23" w:name="_Toc14359"/>
      <w:bookmarkStart w:id="24" w:name="_Toc14566"/>
      <w:bookmarkStart w:id="25" w:name="_Toc3760"/>
      <w:r>
        <w:rPr>
          <w:rFonts w:hint="eastAsia" w:ascii="宋体" w:hAnsi="宋体" w:cs="宋体"/>
          <w:color w:val="auto"/>
          <w:kern w:val="0"/>
          <w:sz w:val="24"/>
        </w:rPr>
        <w:t>2-2、股权关系说明：</w:t>
      </w:r>
      <w:bookmarkEnd w:id="18"/>
      <w:bookmarkEnd w:id="19"/>
      <w:bookmarkEnd w:id="20"/>
      <w:bookmarkEnd w:id="21"/>
      <w:bookmarkEnd w:id="22"/>
      <w:bookmarkEnd w:id="23"/>
      <w:bookmarkEnd w:id="24"/>
      <w:bookmarkEnd w:id="25"/>
    </w:p>
    <w:p w14:paraId="0201AAD4">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我单位控股的单位有</w:t>
      </w:r>
      <w:r>
        <w:rPr>
          <w:rFonts w:hint="eastAsia" w:ascii="宋体" w:hAnsi="宋体" w:cs="宋体"/>
          <w:color w:val="auto"/>
          <w:kern w:val="0"/>
          <w:sz w:val="24"/>
          <w:u w:val="single"/>
        </w:rPr>
        <w:t>              </w:t>
      </w:r>
      <w:r>
        <w:rPr>
          <w:rFonts w:hint="eastAsia" w:ascii="宋体" w:hAnsi="宋体" w:cs="宋体"/>
          <w:color w:val="auto"/>
          <w:kern w:val="0"/>
          <w:sz w:val="24"/>
        </w:rPr>
        <w:t>。</w:t>
      </w:r>
    </w:p>
    <w:p w14:paraId="518AE17B">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我单位被</w:t>
      </w:r>
      <w:r>
        <w:rPr>
          <w:rFonts w:hint="eastAsia" w:ascii="宋体" w:hAnsi="宋体" w:cs="宋体"/>
          <w:color w:val="auto"/>
          <w:kern w:val="0"/>
          <w:sz w:val="24"/>
          <w:u w:val="single"/>
        </w:rPr>
        <w:t>              </w:t>
      </w:r>
      <w:r>
        <w:rPr>
          <w:rFonts w:hint="eastAsia" w:ascii="宋体" w:hAnsi="宋体" w:cs="宋体"/>
          <w:color w:val="auto"/>
          <w:kern w:val="0"/>
          <w:sz w:val="24"/>
        </w:rPr>
        <w:t>单位控股。</w:t>
      </w:r>
    </w:p>
    <w:p w14:paraId="5623AD76">
      <w:pPr>
        <w:widowControl/>
        <w:shd w:val="clear" w:color="auto" w:fill="FFFFFF"/>
        <w:spacing w:before="100" w:beforeAutospacing="1" w:after="100" w:afterAutospacing="1" w:line="360" w:lineRule="atLeast"/>
        <w:ind w:firstLine="480"/>
        <w:outlineLvl w:val="0"/>
        <w:rPr>
          <w:rFonts w:ascii="宋体" w:hAnsi="宋体" w:cs="宋体"/>
          <w:color w:val="auto"/>
          <w:kern w:val="0"/>
          <w:sz w:val="24"/>
        </w:rPr>
      </w:pPr>
      <w:bookmarkStart w:id="26" w:name="_Toc7355"/>
      <w:bookmarkStart w:id="27" w:name="_Toc22988"/>
      <w:bookmarkStart w:id="28" w:name="_Toc3602"/>
      <w:bookmarkStart w:id="29" w:name="_Toc28920"/>
      <w:bookmarkStart w:id="30" w:name="_Toc862"/>
      <w:bookmarkStart w:id="31" w:name="_Toc10366"/>
      <w:bookmarkStart w:id="32" w:name="_Toc17343"/>
      <w:bookmarkStart w:id="33" w:name="_Toc26276"/>
      <w:r>
        <w:rPr>
          <w:rFonts w:hint="eastAsia" w:ascii="宋体" w:hAnsi="宋体" w:cs="宋体"/>
          <w:color w:val="auto"/>
          <w:kern w:val="0"/>
          <w:sz w:val="24"/>
        </w:rPr>
        <w:t>2-3、单位负责人：</w:t>
      </w:r>
      <w:bookmarkEnd w:id="26"/>
      <w:bookmarkEnd w:id="27"/>
      <w:bookmarkEnd w:id="28"/>
      <w:bookmarkEnd w:id="29"/>
      <w:bookmarkEnd w:id="30"/>
      <w:bookmarkEnd w:id="31"/>
      <w:bookmarkEnd w:id="32"/>
      <w:bookmarkEnd w:id="33"/>
    </w:p>
    <w:p w14:paraId="45EBB687">
      <w:pPr>
        <w:widowControl/>
        <w:shd w:val="clear" w:color="auto" w:fill="FFFFFF"/>
        <w:spacing w:before="100" w:beforeAutospacing="1" w:after="100" w:afterAutospacing="1" w:line="360" w:lineRule="atLeast"/>
        <w:ind w:firstLine="480"/>
        <w:outlineLvl w:val="2"/>
        <w:rPr>
          <w:rFonts w:ascii="宋体" w:hAnsi="宋体" w:cs="宋体"/>
          <w:color w:val="auto"/>
          <w:kern w:val="0"/>
          <w:sz w:val="24"/>
        </w:rPr>
      </w:pPr>
      <w:bookmarkStart w:id="34" w:name="_Toc12468"/>
      <w:bookmarkStart w:id="35" w:name="_Toc15738"/>
      <w:r>
        <w:rPr>
          <w:rFonts w:hint="eastAsia" w:ascii="宋体" w:hAnsi="宋体" w:cs="宋体"/>
          <w:color w:val="auto"/>
          <w:kern w:val="0"/>
          <w:sz w:val="24"/>
        </w:rPr>
        <w:t>3、其他与本项目有关的利害关系说明：</w:t>
      </w:r>
      <w:bookmarkEnd w:id="34"/>
      <w:bookmarkEnd w:id="35"/>
    </w:p>
    <w:p w14:paraId="24E24A03">
      <w:pPr>
        <w:widowControl/>
        <w:shd w:val="clear" w:color="auto" w:fill="FFFFFF"/>
        <w:spacing w:before="100" w:beforeAutospacing="1" w:after="100" w:afterAutospacing="1" w:line="360" w:lineRule="atLeast"/>
        <w:ind w:firstLine="480"/>
        <w:rPr>
          <w:rFonts w:ascii="宋体" w:hAnsi="宋体" w:cs="宋体"/>
          <w:color w:val="auto"/>
          <w:kern w:val="0"/>
          <w:sz w:val="24"/>
        </w:rPr>
      </w:pPr>
      <w:r>
        <w:rPr>
          <w:rFonts w:hint="eastAsia" w:ascii="宋体" w:hAnsi="宋体" w:cs="宋体"/>
          <w:color w:val="auto"/>
          <w:kern w:val="0"/>
          <w:sz w:val="24"/>
        </w:rPr>
        <w:t>我单位承诺以上说明真实有效，无虚假内容或隐瞒。</w:t>
      </w:r>
    </w:p>
    <w:p w14:paraId="6EAE0419">
      <w:pPr>
        <w:widowControl/>
        <w:shd w:val="clear" w:color="auto" w:fill="FFFFFF"/>
        <w:spacing w:before="100" w:beforeAutospacing="1" w:after="100" w:afterAutospacing="1" w:line="360" w:lineRule="atLeast"/>
        <w:rPr>
          <w:rFonts w:ascii="宋体" w:hAnsi="宋体" w:cs="宋体"/>
          <w:color w:val="auto"/>
          <w:kern w:val="0"/>
          <w:sz w:val="24"/>
        </w:rPr>
      </w:pPr>
      <w:r>
        <w:rPr>
          <w:rFonts w:hint="eastAsia" w:ascii="仿宋_GB2312" w:hAnsi="宋体" w:eastAsia="仿宋_GB2312" w:cs="宋体"/>
          <w:color w:val="auto"/>
          <w:kern w:val="0"/>
          <w:sz w:val="32"/>
          <w:szCs w:val="32"/>
        </w:rPr>
        <w:t> </w:t>
      </w:r>
    </w:p>
    <w:p w14:paraId="4E1899E6">
      <w:pPr>
        <w:widowControl/>
        <w:shd w:val="clear" w:color="auto" w:fill="FFFFFF"/>
        <w:spacing w:before="100" w:beforeAutospacing="1" w:after="100" w:afterAutospacing="1" w:line="500" w:lineRule="atLeast"/>
        <w:rPr>
          <w:rFonts w:hint="eastAsia" w:ascii="宋体" w:hAnsi="宋体" w:cs="宋体"/>
          <w:color w:val="auto"/>
          <w:kern w:val="0"/>
          <w:sz w:val="24"/>
        </w:rPr>
      </w:pPr>
      <w:r>
        <w:rPr>
          <w:rFonts w:hint="eastAsia" w:ascii="宋体" w:hAnsi="宋体" w:cs="宋体"/>
          <w:color w:val="auto"/>
          <w:kern w:val="0"/>
          <w:sz w:val="24"/>
        </w:rPr>
        <w:t xml:space="preserve">                    </w:t>
      </w:r>
      <w:r>
        <w:rPr>
          <w:rFonts w:hint="eastAsia" w:ascii="宋体" w:hAnsi="宋体" w:cs="宋体"/>
          <w:color w:val="auto"/>
          <w:kern w:val="0"/>
          <w:sz w:val="24"/>
          <w:lang w:eastAsia="zh-CN"/>
        </w:rPr>
        <w:t>供应商</w:t>
      </w:r>
      <w:r>
        <w:rPr>
          <w:rFonts w:hint="eastAsia" w:ascii="宋体" w:hAnsi="宋体" w:cs="宋体"/>
          <w:color w:val="auto"/>
          <w:kern w:val="0"/>
          <w:sz w:val="24"/>
        </w:rPr>
        <w:t>： </w:t>
      </w:r>
      <w:r>
        <w:rPr>
          <w:rFonts w:hint="eastAsia" w:ascii="宋体" w:hAnsi="宋体" w:cs="宋体"/>
          <w:color w:val="auto"/>
          <w:kern w:val="0"/>
          <w:sz w:val="24"/>
          <w:u w:val="single"/>
        </w:rPr>
        <w:t>                         </w:t>
      </w:r>
      <w:r>
        <w:rPr>
          <w:rFonts w:hint="eastAsia" w:ascii="宋体" w:hAnsi="宋体" w:cs="宋体"/>
          <w:color w:val="auto"/>
          <w:kern w:val="0"/>
          <w:sz w:val="24"/>
        </w:rPr>
        <w:t>（公章）</w:t>
      </w:r>
    </w:p>
    <w:p w14:paraId="47ECD765">
      <w:pPr>
        <w:widowControl/>
        <w:shd w:val="clear" w:color="auto" w:fill="FFFFFF"/>
        <w:spacing w:before="100" w:beforeAutospacing="1" w:after="100" w:afterAutospacing="1" w:line="500" w:lineRule="atLeast"/>
        <w:rPr>
          <w:rFonts w:ascii="宋体" w:hAnsi="宋体" w:cs="宋体"/>
          <w:color w:val="auto"/>
          <w:kern w:val="0"/>
          <w:sz w:val="27"/>
          <w:szCs w:val="27"/>
        </w:rPr>
      </w:pPr>
      <w:r>
        <w:rPr>
          <w:rFonts w:hint="eastAsia" w:ascii="宋体" w:hAnsi="宋体" w:cs="宋体"/>
          <w:color w:val="auto"/>
          <w:kern w:val="0"/>
          <w:sz w:val="24"/>
        </w:rPr>
        <w:t xml:space="preserve">                    法定代表人/被授权人：</w:t>
      </w:r>
      <w:r>
        <w:rPr>
          <w:rFonts w:hint="eastAsia" w:ascii="宋体" w:hAnsi="宋体" w:cs="宋体"/>
          <w:color w:val="auto"/>
          <w:kern w:val="0"/>
          <w:sz w:val="24"/>
          <w:u w:val="single"/>
        </w:rPr>
        <w:t xml:space="preserve">             </w:t>
      </w:r>
      <w:r>
        <w:rPr>
          <w:rFonts w:hint="eastAsia" w:ascii="宋体" w:hAnsi="宋体" w:cs="宋体"/>
          <w:color w:val="auto"/>
          <w:kern w:val="0"/>
          <w:sz w:val="24"/>
        </w:rPr>
        <w:t>（</w:t>
      </w:r>
      <w:r>
        <w:rPr>
          <w:rFonts w:hint="eastAsia" w:ascii="宋体" w:hAnsi="宋体" w:eastAsia="宋体" w:cs="宋体"/>
          <w:color w:val="auto"/>
          <w:spacing w:val="3"/>
          <w:sz w:val="24"/>
          <w:szCs w:val="24"/>
          <w:highlight w:val="none"/>
        </w:rPr>
        <w:t>签字</w:t>
      </w:r>
      <w:r>
        <w:rPr>
          <w:rFonts w:hint="eastAsia" w:ascii="宋体" w:hAnsi="宋体" w:eastAsia="宋体" w:cs="宋体"/>
          <w:color w:val="auto"/>
          <w:spacing w:val="3"/>
          <w:sz w:val="24"/>
          <w:szCs w:val="24"/>
          <w:highlight w:val="none"/>
          <w:lang w:eastAsia="zh-CN"/>
        </w:rPr>
        <w:t>或</w:t>
      </w:r>
      <w:r>
        <w:rPr>
          <w:rFonts w:hint="eastAsia" w:ascii="宋体" w:hAnsi="宋体" w:eastAsia="宋体" w:cs="宋体"/>
          <w:color w:val="auto"/>
          <w:sz w:val="24"/>
          <w:szCs w:val="24"/>
          <w:highlight w:val="none"/>
        </w:rPr>
        <w:t>盖</w:t>
      </w:r>
      <w:r>
        <w:rPr>
          <w:rFonts w:hint="eastAsia" w:ascii="宋体" w:hAnsi="宋体" w:eastAsia="宋体" w:cs="宋体"/>
          <w:color w:val="auto"/>
          <w:spacing w:val="3"/>
          <w:sz w:val="24"/>
          <w:szCs w:val="24"/>
          <w:highlight w:val="none"/>
        </w:rPr>
        <w:t>章</w:t>
      </w:r>
      <w:r>
        <w:rPr>
          <w:rFonts w:hint="eastAsia" w:ascii="宋体" w:hAnsi="宋体" w:cs="宋体"/>
          <w:color w:val="auto"/>
          <w:kern w:val="0"/>
          <w:sz w:val="24"/>
        </w:rPr>
        <w:t>）</w:t>
      </w:r>
    </w:p>
    <w:p w14:paraId="1F5C150D">
      <w:pPr>
        <w:pStyle w:val="2"/>
        <w:rPr>
          <w:rFonts w:hint="default"/>
          <w:lang w:val="en-US" w:eastAsia="zh-CN"/>
        </w:rPr>
      </w:pPr>
    </w:p>
    <w:p w14:paraId="1A274F22">
      <w:pPr>
        <w:widowControl/>
        <w:shd w:val="clear" w:color="auto" w:fill="FFFFFF"/>
        <w:spacing w:before="100" w:beforeAutospacing="1" w:after="100" w:afterAutospacing="1" w:line="360" w:lineRule="atLeast"/>
        <w:rPr>
          <w:rFonts w:hint="eastAsia" w:ascii="宋体" w:hAnsi="宋体" w:eastAsia="Times New Roman" w:cs="宋体"/>
          <w:color w:val="auto"/>
          <w:sz w:val="24"/>
          <w:lang w:val="en-US" w:eastAsia="zh-CN"/>
        </w:rPr>
      </w:pPr>
    </w:p>
    <w:p w14:paraId="11B4A79A">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zOGJlZTQxYzY3ZWY4ODg1YmNmNTNiZDdlZGNlMDcifQ=="/>
  </w:docVars>
  <w:rsids>
    <w:rsidRoot w:val="00000000"/>
    <w:rsid w:val="07337BB0"/>
    <w:rsid w:val="09D365F8"/>
    <w:rsid w:val="0A8B3CFE"/>
    <w:rsid w:val="1DBC6B98"/>
    <w:rsid w:val="2A5D58EC"/>
    <w:rsid w:val="3C0F14B4"/>
    <w:rsid w:val="3D6459C5"/>
    <w:rsid w:val="460A25C4"/>
    <w:rsid w:val="69216AF4"/>
    <w:rsid w:val="6CA7296E"/>
    <w:rsid w:val="72DF0419"/>
    <w:rsid w:val="77254BB0"/>
    <w:rsid w:val="7D647A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hint="default" w:ascii="Times New Roman" w:hAnsi="Times New Roman" w:eastAsia="Times New Roman" w:cs="Times New Roman"/>
      <w:kern w:val="0"/>
      <w:sz w:val="24"/>
      <w:szCs w:val="24"/>
      <w:lang w:val="en-US" w:eastAsia="zh-CN" w:bidi="ar"/>
    </w:rPr>
  </w:style>
  <w:style w:type="paragraph" w:styleId="3">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Wingdings" w:hAnsi="Wingdings" w:cs="Times New Roman"/>
      <w:bCs/>
      <w:kern w:val="0"/>
      <w:sz w:val="20"/>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ahoma" w:hAnsi="Tahoma"/>
    </w:rPr>
  </w:style>
  <w:style w:type="paragraph" w:styleId="5">
    <w:name w:val="Body Text 2"/>
    <w:basedOn w:val="1"/>
    <w:qFormat/>
    <w:uiPriority w:val="0"/>
    <w:pPr>
      <w:spacing w:line="440" w:lineRule="exact"/>
    </w:pPr>
    <w:rPr>
      <w:rFonts w:ascii="宋体" w:hAnsi="宋体"/>
      <w:color w:val="000000"/>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1153</Words>
  <Characters>1171</Characters>
  <Lines>0</Lines>
  <Paragraphs>0</Paragraphs>
  <TotalTime>9</TotalTime>
  <ScaleCrop>false</ScaleCrop>
  <LinksUpToDate>false</LinksUpToDate>
  <CharactersWithSpaces>1397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2024-06-07T03:21:00Z</dcterms:created>
  <dc:creator>47393</dc:creator>
  <cp:lastModifiedBy>快乐猫</cp:lastModifiedBy>
  <dcterms:modified xsi:type="dcterms:W3CDTF">2025-04-24T02:24:08Z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EC195F069092482C9813E9956C048771_13</vt:lpwstr>
  </property>
  <property fmtid="{D5CDD505-2E9C-101B-9397-08002B2CF9AE}" pid="4" name="KSOTemplateDocerSaveRecord">
    <vt:lpwstr>eyJoZGlkIjoiOGYzOGJlZTQxYzY3ZWY4ODg1YmNmNTNiZDdlZGNlMDciLCJ1c2VySWQiOiIxNTE3ODQyNzU3In0=</vt:lpwstr>
  </property>
</Properties>
</file>