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版本号：LZBE2025-72720250529002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北综合部室楼加固改造提升项目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LZBE2025-727</w:t>
      </w:r>
      <w:r>
        <w:br/>
      </w:r>
      <w:r>
        <w:br/>
      </w:r>
      <w:r>
        <w:br/>
      </w:r>
    </w:p>
    <w:p>
      <w:pPr>
        <w:pStyle w:val="null3"/>
        <w:jc w:val="center"/>
        <w:outlineLvl w:val="2"/>
      </w:pPr>
      <w:r>
        <w:rPr>
          <w:rFonts w:ascii="仿宋_GB2312" w:hAnsi="仿宋_GB2312" w:cs="仿宋_GB2312" w:eastAsia="仿宋_GB2312"/>
          <w:sz w:val="28"/>
          <w:b/>
        </w:rPr>
        <w:t>西安市新城区向荣巷小学</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2025年05月29日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西安市新城区向荣巷小学</w:t>
      </w:r>
      <w:r>
        <w:rPr>
          <w:rFonts w:ascii="仿宋_GB2312" w:hAnsi="仿宋_GB2312" w:cs="仿宋_GB2312" w:eastAsia="仿宋_GB2312"/>
        </w:rPr>
        <w:t>委托，拟对</w:t>
      </w:r>
      <w:r>
        <w:rPr>
          <w:rFonts w:ascii="仿宋_GB2312" w:hAnsi="仿宋_GB2312" w:cs="仿宋_GB2312" w:eastAsia="仿宋_GB2312"/>
        </w:rPr>
        <w:t>北综合部室楼加固改造提升项目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LZBE2025-727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北综合部室楼加固改造提升项目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西安市新城区向荣巷小学北综合部室楼加固改造提升项目，施工内容详见工程量清单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采购包1（西安市新城区向荣巷小学北综合部室楼加固改造提升项目）：属于专门面向中小企业采购。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1、具有独立承担民事责任能力的法人、其他组织或自然人：法人或者其他组织提供营业执照等证明文件，自然人提供身份证件，供应商需在项目电子化交易系统中按要求上传相应证明文件并进行电子签章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身份证明文件：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供应商需在项目电子化交易系统中按要求上传相应证明文件</w:t>
      </w:r>
    </w:p>
    <w:p>
      <w:pPr>
        <w:pStyle w:val="null3"/>
      </w:pPr>
      <w:r>
        <w:rPr>
          <w:rFonts w:ascii="仿宋_GB2312" w:hAnsi="仿宋_GB2312" w:cs="仿宋_GB2312" w:eastAsia="仿宋_GB2312"/>
        </w:rPr>
        <w:t>3、税收缴纳凭证及社会保险缴纳的凭证：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w:t>
      </w:r>
    </w:p>
    <w:p>
      <w:pPr>
        <w:pStyle w:val="null3"/>
      </w:pPr>
      <w:r>
        <w:rPr>
          <w:rFonts w:ascii="仿宋_GB2312" w:hAnsi="仿宋_GB2312" w:cs="仿宋_GB2312" w:eastAsia="仿宋_GB2312"/>
        </w:rPr>
        <w:t>4、参加政府采购活动前3年内在经营活动中没有重大违法记录的书面声明；其中：重大违法记录是指供应商因违法经营受到刑事处罚或者责令停产停业、吊销许可证或者执照、较大数额罚款等行政处罚：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5、财务状况：供应商提供2023年度或2024年度经审计的财务审计报告（事业法人可提供部门决算报告）；或提供开标日前三个月内基本存款账户银行出具的资信证明及基本存款账户银行相关证明资料；或提供政府采购专业担保机构出具的投标担保函，供应商需在项目电子化交易系统中按要求上传相应证明文件</w:t>
      </w:r>
    </w:p>
    <w:p>
      <w:pPr>
        <w:pStyle w:val="null3"/>
      </w:pPr>
      <w:r>
        <w:rPr>
          <w:rFonts w:ascii="仿宋_GB2312" w:hAnsi="仿宋_GB2312" w:cs="仿宋_GB2312" w:eastAsia="仿宋_GB2312"/>
        </w:rPr>
        <w:t>6、履行合同所必需的设备和专业技术能力书面声明函：具有履行合同所必需的设备和专业技术能力书面声明函，供应商需在项目电子化交易系统中按要求上传相应证明文件并进行电子签章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7、供应商资质要求：供应商须具有建筑工程施工总承包三级及以上资质及有效的安全生产许可证</w:t>
      </w:r>
    </w:p>
    <w:p>
      <w:pPr>
        <w:pStyle w:val="null3"/>
      </w:pPr>
      <w:r>
        <w:rPr>
          <w:rFonts w:ascii="仿宋_GB2312" w:hAnsi="仿宋_GB2312" w:cs="仿宋_GB2312" w:eastAsia="仿宋_GB2312"/>
        </w:rPr>
        <w:t>8、拟派项目负责人证书：供应商拟派项目负责人具有本企业注册的建筑工程专业二级及以上注册建造师证书及安全考核合格证,且无在建（无在建承诺格式及内容自拟）</w:t>
      </w:r>
    </w:p>
    <w:p>
      <w:pPr>
        <w:pStyle w:val="null3"/>
      </w:pPr>
      <w:r>
        <w:rPr>
          <w:rFonts w:ascii="仿宋_GB2312" w:hAnsi="仿宋_GB2312" w:cs="仿宋_GB2312" w:eastAsia="仿宋_GB2312"/>
        </w:rPr>
        <w:t>9、信用状况：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的网站查询记录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西安市新城区向荣巷小学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西安市新城区联志路71号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029-86262523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西安市太白南路181号西部电子社区A座A区501室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潘乐、孙承国、刘强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029-88228899-655、650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西安市新城区政府采购管理股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029-87438480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采购包1：1,262,978.68元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代理服务费收费标准：1、本项目采购代理服务费以成交价作为收费基数，参照计价格[2002]1980号、发改价格[2011]534号、发改办价格〔2003〕857号中工程类执行。 2、成交单位在领取成交通知书之前，须向采购代理机构支付招标代理服务费。招标代理服务费以转账或现金形式缴纳至以下账户：开户名称：龙寰项目管理咨询有限公司；开户银行：平安银行西安高新路支行；账号：30201278016690</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西安市新城区向荣巷小学</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西安市新城区向荣巷小学</w:t>
      </w:r>
      <w:r>
        <w:rPr>
          <w:rFonts w:ascii="仿宋_GB2312" w:hAnsi="仿宋_GB2312" w:cs="仿宋_GB2312" w:eastAsia="仿宋_GB2312"/>
        </w:rPr>
        <w:t>负责解释。除上述磋商文件内容，其他内容由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西安市新城区向荣巷小学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在本单位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满足采购文件要求，符合国家现行有关施工质量验收规范“合格”标准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联系人：潘乐、孙承国、刘强</w:t>
      </w:r>
    </w:p>
    <w:p>
      <w:pPr>
        <w:pStyle w:val="null3"/>
      </w:pPr>
      <w:r>
        <w:rPr>
          <w:rFonts w:ascii="仿宋_GB2312" w:hAnsi="仿宋_GB2312" w:cs="仿宋_GB2312" w:eastAsia="仿宋_GB2312"/>
        </w:rPr>
        <w:t>联系电话：029-88228899-655、650</w:t>
      </w:r>
    </w:p>
    <w:p>
      <w:pPr>
        <w:pStyle w:val="null3"/>
      </w:pPr>
      <w:r>
        <w:rPr>
          <w:rFonts w:ascii="仿宋_GB2312" w:hAnsi="仿宋_GB2312" w:cs="仿宋_GB2312" w:eastAsia="仿宋_GB2312"/>
        </w:rPr>
        <w:t>地址：西安市太白南路181号西部电子社区A座A区501室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1,262,978.68</w:t>
      </w:r>
    </w:p>
    <w:p>
      <w:pPr>
        <w:pStyle w:val="null3"/>
      </w:pPr>
      <w:r>
        <w:rPr>
          <w:rFonts w:ascii="仿宋_GB2312" w:hAnsi="仿宋_GB2312" w:cs="仿宋_GB2312" w:eastAsia="仿宋_GB2312"/>
        </w:rPr>
        <w:t>采购包最高限价（元）: 1,262,978.68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北综合部室楼加固改造提升项目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1,262,978.68</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标的名称：北综合部室楼加固改造提升项目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w:t>
            </w:r>
            <w:r>
              <w:rPr>
                <w:rFonts w:ascii="仿宋_GB2312" w:hAnsi="仿宋_GB2312" w:cs="仿宋_GB2312" w:eastAsia="仿宋_GB2312"/>
                <w:sz w:val="21"/>
              </w:rPr>
              <w:t>、编制依据：</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西安市新城区向荣巷小学北综合部室楼加固改造提升项目工程</w:t>
            </w:r>
            <w:r>
              <w:rPr>
                <w:rFonts w:ascii="仿宋_GB2312" w:hAnsi="仿宋_GB2312" w:cs="仿宋_GB2312" w:eastAsia="仿宋_GB2312"/>
                <w:sz w:val="21"/>
              </w:rPr>
              <w:t>图纸</w:t>
            </w:r>
            <w:r>
              <w:rPr>
                <w:rFonts w:ascii="仿宋_GB2312" w:hAnsi="仿宋_GB2312" w:cs="仿宋_GB2312" w:eastAsia="仿宋_GB2312"/>
                <w:sz w:val="21"/>
              </w:rPr>
              <w:t>及</w:t>
            </w:r>
            <w:r>
              <w:rPr>
                <w:rFonts w:ascii="仿宋_GB2312" w:hAnsi="仿宋_GB2312" w:cs="仿宋_GB2312" w:eastAsia="仿宋_GB2312"/>
                <w:sz w:val="21"/>
              </w:rPr>
              <w:t>相关标准图。</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、清单规则及定额</w:t>
            </w:r>
          </w:p>
          <w:p>
            <w:pPr>
              <w:pStyle w:val="null3"/>
              <w:jc w:val="both"/>
            </w:pPr>
            <w:r>
              <w:rPr>
                <w:rFonts w:ascii="仿宋_GB2312" w:hAnsi="仿宋_GB2312" w:cs="仿宋_GB2312" w:eastAsia="仿宋_GB2312"/>
                <w:sz w:val="21"/>
              </w:rPr>
              <w:t>《陕西省建设工程工程量清单计价规则（</w:t>
            </w:r>
            <w:r>
              <w:rPr>
                <w:rFonts w:ascii="仿宋_GB2312" w:hAnsi="仿宋_GB2312" w:cs="仿宋_GB2312" w:eastAsia="仿宋_GB2312"/>
                <w:sz w:val="21"/>
              </w:rPr>
              <w:t>2009</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《陕西省建设工程工程量清单计价费率（</w:t>
            </w:r>
            <w:r>
              <w:rPr>
                <w:rFonts w:ascii="仿宋_GB2312" w:hAnsi="仿宋_GB2312" w:cs="仿宋_GB2312" w:eastAsia="仿宋_GB2312"/>
                <w:sz w:val="21"/>
              </w:rPr>
              <w:t>2009</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《陕西省建筑工程消耗量定额（</w:t>
            </w:r>
            <w:r>
              <w:rPr>
                <w:rFonts w:ascii="仿宋_GB2312" w:hAnsi="仿宋_GB2312" w:cs="仿宋_GB2312" w:eastAsia="仿宋_GB2312"/>
                <w:sz w:val="21"/>
              </w:rPr>
              <w:t>2004</w:t>
            </w:r>
            <w:r>
              <w:rPr>
                <w:rFonts w:ascii="仿宋_GB2312" w:hAnsi="仿宋_GB2312" w:cs="仿宋_GB2312" w:eastAsia="仿宋_GB2312"/>
                <w:sz w:val="21"/>
              </w:rPr>
              <w:t>）》及补充定额</w:t>
            </w:r>
          </w:p>
          <w:p>
            <w:pPr>
              <w:pStyle w:val="null3"/>
              <w:jc w:val="both"/>
            </w:pPr>
            <w:r>
              <w:rPr>
                <w:rFonts w:ascii="仿宋_GB2312" w:hAnsi="仿宋_GB2312" w:cs="仿宋_GB2312" w:eastAsia="仿宋_GB2312"/>
                <w:sz w:val="21"/>
              </w:rPr>
              <w:t>《陕西省安装工程消耗量定额（</w:t>
            </w:r>
            <w:r>
              <w:rPr>
                <w:rFonts w:ascii="仿宋_GB2312" w:hAnsi="仿宋_GB2312" w:cs="仿宋_GB2312" w:eastAsia="仿宋_GB2312"/>
                <w:sz w:val="21"/>
              </w:rPr>
              <w:t>2004</w:t>
            </w:r>
            <w:r>
              <w:rPr>
                <w:rFonts w:ascii="仿宋_GB2312" w:hAnsi="仿宋_GB2312" w:cs="仿宋_GB2312" w:eastAsia="仿宋_GB2312"/>
                <w:sz w:val="21"/>
              </w:rPr>
              <w:t>）》及补充定额</w:t>
            </w:r>
          </w:p>
          <w:p>
            <w:pPr>
              <w:pStyle w:val="null3"/>
              <w:jc w:val="both"/>
            </w:pPr>
            <w:r>
              <w:rPr>
                <w:rFonts w:ascii="仿宋_GB2312" w:hAnsi="仿宋_GB2312" w:cs="仿宋_GB2312" w:eastAsia="仿宋_GB2312"/>
                <w:sz w:val="21"/>
              </w:rPr>
              <w:t>《陕西省安装工程工程价目表（</w:t>
            </w:r>
            <w:r>
              <w:rPr>
                <w:rFonts w:ascii="仿宋_GB2312" w:hAnsi="仿宋_GB2312" w:cs="仿宋_GB2312" w:eastAsia="仿宋_GB2312"/>
                <w:sz w:val="21"/>
              </w:rPr>
              <w:t>2009</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相关规程</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《建设工程招标控制价编审程序（</w:t>
            </w:r>
            <w:r>
              <w:rPr>
                <w:rFonts w:ascii="仿宋_GB2312" w:hAnsi="仿宋_GB2312" w:cs="仿宋_GB2312" w:eastAsia="仿宋_GB2312"/>
                <w:sz w:val="21"/>
              </w:rPr>
              <w:t>CECA/GC6-2011</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、人工费：</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）人工费单价文件：《关于调整房屋建筑和市政基础设施工程工程量清单计价综合人工单价的通知》</w:t>
            </w:r>
            <w:r>
              <w:rPr>
                <w:rFonts w:ascii="仿宋_GB2312" w:hAnsi="仿宋_GB2312" w:cs="仿宋_GB2312" w:eastAsia="仿宋_GB2312"/>
                <w:sz w:val="21"/>
              </w:rPr>
              <w:t>（</w:t>
            </w:r>
            <w:r>
              <w:rPr>
                <w:rFonts w:ascii="仿宋_GB2312" w:hAnsi="仿宋_GB2312" w:cs="仿宋_GB2312" w:eastAsia="仿宋_GB2312"/>
                <w:sz w:val="21"/>
              </w:rPr>
              <w:t>陕建发</w:t>
            </w:r>
            <w:r>
              <w:rPr>
                <w:rFonts w:ascii="仿宋_GB2312" w:hAnsi="仿宋_GB2312" w:cs="仿宋_GB2312" w:eastAsia="仿宋_GB2312"/>
                <w:sz w:val="21"/>
              </w:rPr>
              <w:t>[2021]1097</w:t>
            </w:r>
            <w:r>
              <w:rPr>
                <w:rFonts w:ascii="仿宋_GB2312" w:hAnsi="仿宋_GB2312" w:cs="仿宋_GB2312" w:eastAsia="仿宋_GB2312"/>
                <w:sz w:val="21"/>
              </w:rPr>
              <w:t>号</w:t>
            </w:r>
            <w:r>
              <w:rPr>
                <w:rFonts w:ascii="仿宋_GB2312" w:hAnsi="仿宋_GB2312" w:cs="仿宋_GB2312" w:eastAsia="仿宋_GB2312"/>
                <w:sz w:val="21"/>
              </w:rPr>
              <w:t>）</w:t>
            </w:r>
            <w:r>
              <w:rPr>
                <w:rFonts w:ascii="仿宋_GB2312" w:hAnsi="仿宋_GB2312" w:cs="仿宋_GB2312" w:eastAsia="仿宋_GB2312"/>
                <w:sz w:val="21"/>
              </w:rPr>
              <w:t>文件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）人工费按差价计入。</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、材料价格：</w:t>
            </w:r>
          </w:p>
          <w:p>
            <w:pPr>
              <w:pStyle w:val="null3"/>
              <w:jc w:val="both"/>
            </w:pPr>
            <w:r>
              <w:rPr>
                <w:rFonts w:ascii="仿宋_GB2312" w:hAnsi="仿宋_GB2312" w:cs="仿宋_GB2312" w:eastAsia="仿宋_GB2312"/>
                <w:sz w:val="21"/>
              </w:rPr>
              <w:t>参考《</w:t>
            </w:r>
            <w:r>
              <w:rPr>
                <w:rFonts w:ascii="仿宋_GB2312" w:hAnsi="仿宋_GB2312" w:cs="仿宋_GB2312" w:eastAsia="仿宋_GB2312"/>
                <w:sz w:val="21"/>
              </w:rPr>
              <w:t>陕西</w:t>
            </w:r>
            <w:r>
              <w:rPr>
                <w:rFonts w:ascii="仿宋_GB2312" w:hAnsi="仿宋_GB2312" w:cs="仿宋_GB2312" w:eastAsia="仿宋_GB2312"/>
                <w:sz w:val="21"/>
              </w:rPr>
              <w:t>工程造价信息》</w:t>
            </w:r>
            <w:r>
              <w:rPr>
                <w:rFonts w:ascii="仿宋_GB2312" w:hAnsi="仿宋_GB2312" w:cs="仿宋_GB2312" w:eastAsia="仿宋_GB2312"/>
                <w:sz w:val="21"/>
              </w:rPr>
              <w:t>202</w:t>
            </w:r>
            <w:r>
              <w:rPr>
                <w:rFonts w:ascii="仿宋_GB2312" w:hAnsi="仿宋_GB2312" w:cs="仿宋_GB2312" w:eastAsia="仿宋_GB2312"/>
                <w:sz w:val="21"/>
              </w:rPr>
              <w:t>5</w:t>
            </w:r>
            <w:r>
              <w:rPr>
                <w:rFonts w:ascii="仿宋_GB2312" w:hAnsi="仿宋_GB2312" w:cs="仿宋_GB2312" w:eastAsia="仿宋_GB2312"/>
                <w:sz w:val="21"/>
              </w:rPr>
              <w:t>年第</w:t>
            </w:r>
            <w:r>
              <w:rPr>
                <w:rFonts w:ascii="仿宋_GB2312" w:hAnsi="仿宋_GB2312" w:cs="仿宋_GB2312" w:eastAsia="仿宋_GB2312"/>
                <w:sz w:val="21"/>
              </w:rPr>
              <w:t>4</w:t>
            </w:r>
            <w:r>
              <w:rPr>
                <w:rFonts w:ascii="仿宋_GB2312" w:hAnsi="仿宋_GB2312" w:cs="仿宋_GB2312" w:eastAsia="仿宋_GB2312"/>
                <w:sz w:val="21"/>
              </w:rPr>
              <w:t>期</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、规费：执行陕西省建设工程工程量清单计价费率（</w:t>
            </w:r>
            <w:r>
              <w:rPr>
                <w:rFonts w:ascii="仿宋_GB2312" w:hAnsi="仿宋_GB2312" w:cs="仿宋_GB2312" w:eastAsia="仿宋_GB2312"/>
                <w:sz w:val="21"/>
              </w:rPr>
              <w:t>2009</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）扬尘措施费：执行《关于增加建设工程扬尘治理专项措施费及综合人工单价调整的通知》（陕建发</w:t>
            </w:r>
            <w:r>
              <w:rPr>
                <w:rFonts w:ascii="仿宋_GB2312" w:hAnsi="仿宋_GB2312" w:cs="仿宋_GB2312" w:eastAsia="仿宋_GB2312"/>
                <w:sz w:val="21"/>
              </w:rPr>
              <w:t>[2017]270</w:t>
            </w:r>
            <w:r>
              <w:rPr>
                <w:rFonts w:ascii="仿宋_GB2312" w:hAnsi="仿宋_GB2312" w:cs="仿宋_GB2312" w:eastAsia="仿宋_GB2312"/>
                <w:sz w:val="21"/>
              </w:rPr>
              <w:t>号）</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）养老保险（劳保统筹基金）：费率</w:t>
            </w:r>
            <w:r>
              <w:rPr>
                <w:rFonts w:ascii="仿宋_GB2312" w:hAnsi="仿宋_GB2312" w:cs="仿宋_GB2312" w:eastAsia="仿宋_GB2312"/>
                <w:sz w:val="21"/>
              </w:rPr>
              <w:t>3.55%</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、税金、综合系数：执行《关于调整陕西省建设工程计价依据的通知》</w:t>
            </w:r>
            <w:r>
              <w:rPr>
                <w:rFonts w:ascii="仿宋_GB2312" w:hAnsi="仿宋_GB2312" w:cs="仿宋_GB2312" w:eastAsia="仿宋_GB2312"/>
                <w:sz w:val="21"/>
              </w:rPr>
              <w:t>（</w:t>
            </w:r>
            <w:r>
              <w:rPr>
                <w:rFonts w:ascii="仿宋_GB2312" w:hAnsi="仿宋_GB2312" w:cs="仿宋_GB2312" w:eastAsia="仿宋_GB2312"/>
                <w:sz w:val="21"/>
              </w:rPr>
              <w:t>陕建发</w:t>
            </w:r>
            <w:r>
              <w:rPr>
                <w:rFonts w:ascii="仿宋_GB2312" w:hAnsi="仿宋_GB2312" w:cs="仿宋_GB2312" w:eastAsia="仿宋_GB2312"/>
                <w:sz w:val="21"/>
              </w:rPr>
              <w:t>[2019]45</w:t>
            </w:r>
            <w:r>
              <w:rPr>
                <w:rFonts w:ascii="仿宋_GB2312" w:hAnsi="仿宋_GB2312" w:cs="仿宋_GB2312" w:eastAsia="仿宋_GB2312"/>
                <w:sz w:val="21"/>
              </w:rPr>
              <w:t>号</w:t>
            </w:r>
            <w:r>
              <w:rPr>
                <w:rFonts w:ascii="仿宋_GB2312" w:hAnsi="仿宋_GB2312" w:cs="仿宋_GB2312" w:eastAsia="仿宋_GB2312"/>
                <w:sz w:val="21"/>
              </w:rPr>
              <w:t>）</w:t>
            </w:r>
            <w:r>
              <w:rPr>
                <w:rFonts w:ascii="仿宋_GB2312" w:hAnsi="仿宋_GB2312" w:cs="仿宋_GB2312" w:eastAsia="仿宋_GB2312"/>
                <w:sz w:val="21"/>
              </w:rPr>
              <w:t>文件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、建筑工人实名制费用执行陕建发</w:t>
            </w:r>
            <w:r>
              <w:rPr>
                <w:rFonts w:ascii="仿宋_GB2312" w:hAnsi="仿宋_GB2312" w:cs="仿宋_GB2312" w:eastAsia="仿宋_GB2312"/>
                <w:sz w:val="21"/>
              </w:rPr>
              <w:t>[2019]1246</w:t>
            </w:r>
            <w:r>
              <w:rPr>
                <w:rFonts w:ascii="仿宋_GB2312" w:hAnsi="仿宋_GB2312" w:cs="仿宋_GB2312" w:eastAsia="仿宋_GB2312"/>
                <w:sz w:val="21"/>
              </w:rPr>
              <w:t>号文。</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、关</w:t>
            </w:r>
            <w:r>
              <w:rPr>
                <w:rFonts w:ascii="仿宋_GB2312" w:hAnsi="仿宋_GB2312" w:cs="仿宋_GB2312" w:eastAsia="仿宋_GB2312"/>
                <w:sz w:val="21"/>
              </w:rPr>
              <w:t>于建筑施工安全生产责任保险费用执行陕建发〔</w:t>
            </w:r>
            <w:r>
              <w:rPr>
                <w:rFonts w:ascii="仿宋_GB2312" w:hAnsi="仿宋_GB2312" w:cs="仿宋_GB2312" w:eastAsia="仿宋_GB2312"/>
                <w:sz w:val="21"/>
              </w:rPr>
              <w:t>2020</w:t>
            </w:r>
            <w:r>
              <w:rPr>
                <w:rFonts w:ascii="仿宋_GB2312" w:hAnsi="仿宋_GB2312" w:cs="仿宋_GB2312" w:eastAsia="仿宋_GB2312"/>
                <w:sz w:val="21"/>
              </w:rPr>
              <w:t>〕</w:t>
            </w:r>
            <w:r>
              <w:rPr>
                <w:rFonts w:ascii="仿宋_GB2312" w:hAnsi="仿宋_GB2312" w:cs="仿宋_GB2312" w:eastAsia="仿宋_GB2312"/>
                <w:sz w:val="21"/>
              </w:rPr>
              <w:t>1097</w:t>
            </w:r>
            <w:r>
              <w:rPr>
                <w:rFonts w:ascii="仿宋_GB2312" w:hAnsi="仿宋_GB2312" w:cs="仿宋_GB2312" w:eastAsia="仿宋_GB2312"/>
                <w:sz w:val="21"/>
              </w:rPr>
              <w:t>号文。</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、其他：</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）本工程按商品混凝土、预拌干混砂浆、熟石灰进行计价。</w:t>
            </w:r>
          </w:p>
          <w:p>
            <w:pPr>
              <w:pStyle w:val="null3"/>
              <w:jc w:val="both"/>
            </w:pPr>
            <w:r>
              <w:rPr>
                <w:rFonts w:ascii="仿宋_GB2312" w:hAnsi="仿宋_GB2312" w:cs="仿宋_GB2312" w:eastAsia="仿宋_GB2312"/>
                <w:sz w:val="21"/>
              </w:rPr>
              <w:t>11、计价软件</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计价软件采用广联达云计价平台</w:t>
            </w:r>
            <w:r>
              <w:rPr>
                <w:rFonts w:ascii="仿宋_GB2312" w:hAnsi="仿宋_GB2312" w:cs="仿宋_GB2312" w:eastAsia="仿宋_GB2312"/>
                <w:sz w:val="21"/>
              </w:rPr>
              <w:t>GCCP6.0</w:t>
            </w:r>
            <w:r>
              <w:rPr>
                <w:rFonts w:ascii="仿宋_GB2312" w:hAnsi="仿宋_GB2312" w:cs="仿宋_GB2312" w:eastAsia="仿宋_GB2312"/>
                <w:sz w:val="21"/>
              </w:rPr>
              <w:t>，版本号</w:t>
            </w:r>
            <w:r>
              <w:rPr>
                <w:rFonts w:ascii="仿宋_GB2312" w:hAnsi="仿宋_GB2312" w:cs="仿宋_GB2312" w:eastAsia="仿宋_GB2312"/>
                <w:sz w:val="21"/>
              </w:rPr>
              <w:t>6.4100.23.122</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地区标准陕西省</w:t>
            </w:r>
            <w:r>
              <w:rPr>
                <w:rFonts w:ascii="仿宋_GB2312" w:hAnsi="仿宋_GB2312" w:cs="仿宋_GB2312" w:eastAsia="仿宋_GB2312"/>
                <w:sz w:val="21"/>
              </w:rPr>
              <w:t>2009</w:t>
            </w:r>
            <w:r>
              <w:rPr>
                <w:rFonts w:ascii="仿宋_GB2312" w:hAnsi="仿宋_GB2312" w:cs="仿宋_GB2312" w:eastAsia="仿宋_GB2312"/>
                <w:sz w:val="21"/>
              </w:rPr>
              <w:t>计价规则</w:t>
            </w:r>
            <w:r>
              <w:rPr>
                <w:rFonts w:ascii="仿宋_GB2312" w:hAnsi="仿宋_GB2312" w:cs="仿宋_GB2312" w:eastAsia="仿宋_GB2312"/>
                <w:sz w:val="21"/>
              </w:rPr>
              <w:t>[</w:t>
            </w:r>
            <w:r>
              <w:rPr>
                <w:rFonts w:ascii="仿宋_GB2312" w:hAnsi="仿宋_GB2312" w:cs="仿宋_GB2312" w:eastAsia="仿宋_GB2312"/>
                <w:sz w:val="21"/>
              </w:rPr>
              <w:t>陕西省评标标准接口</w:t>
            </w:r>
            <w:r>
              <w:rPr>
                <w:rFonts w:ascii="仿宋_GB2312" w:hAnsi="仿宋_GB2312" w:cs="仿宋_GB2312" w:eastAsia="仿宋_GB2312"/>
                <w:sz w:val="21"/>
              </w:rPr>
              <w:t>2016]</w:t>
            </w:r>
          </w:p>
          <w:p>
            <w:pPr>
              <w:pStyle w:val="null3"/>
              <w:jc w:val="both"/>
            </w:pPr>
            <w:r>
              <w:rPr>
                <w:rFonts w:ascii="仿宋_GB2312" w:hAnsi="仿宋_GB2312" w:cs="仿宋_GB2312" w:eastAsia="仿宋_GB2312"/>
                <w:sz w:val="21"/>
              </w:rPr>
              <w:t>二</w:t>
            </w:r>
            <w:r>
              <w:rPr>
                <w:rFonts w:ascii="仿宋_GB2312" w:hAnsi="仿宋_GB2312" w:cs="仿宋_GB2312" w:eastAsia="仿宋_GB2312"/>
                <w:sz w:val="21"/>
              </w:rPr>
              <w:t>、</w:t>
            </w:r>
            <w:r>
              <w:rPr>
                <w:rFonts w:ascii="仿宋_GB2312" w:hAnsi="仿宋_GB2312" w:cs="仿宋_GB2312" w:eastAsia="仿宋_GB2312"/>
                <w:sz w:val="21"/>
              </w:rPr>
              <w:t>编制范围</w:t>
            </w:r>
            <w:r>
              <w:rPr>
                <w:rFonts w:ascii="仿宋_GB2312" w:hAnsi="仿宋_GB2312" w:cs="仿宋_GB2312" w:eastAsia="仿宋_GB2312"/>
                <w:sz w:val="21"/>
              </w:rPr>
              <w:t>包括：</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 现状基础加固、现状梁加固、现状墙体加固、现状板加固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 屋面新作两道</w:t>
            </w:r>
            <w:r>
              <w:rPr>
                <w:rFonts w:ascii="仿宋_GB2312" w:hAnsi="仿宋_GB2312" w:cs="仿宋_GB2312" w:eastAsia="仿宋_GB2312"/>
                <w:sz w:val="21"/>
              </w:rPr>
              <w:t>SBS</w:t>
            </w:r>
            <w:r>
              <w:rPr>
                <w:rFonts w:ascii="仿宋_GB2312" w:hAnsi="仿宋_GB2312" w:cs="仿宋_GB2312" w:eastAsia="仿宋_GB2312"/>
                <w:sz w:val="21"/>
              </w:rPr>
              <w:t>改性沥青防水卷材</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 外墙面新作涂料，走廊新作木墙裙、地面地砖及顶棚涂料，二层门窗更换</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 部分办公室隔墙拆除改为教室，新作地砖地面、乳胶漆墙面、木墙裙及无机涂料顶棚，新作砖砌讲台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 办公室新作木地面、乳胶漆墙面、无机涂料顶棚</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 图书阅览室新作地砖地面、乳胶漆墙面、砖踢脚线、无机涂料顶棚</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 美术兼心理教室新作地砖地面、乳胶漆墙面、木墙裙及无机涂料顶棚，新作砖砌讲台及窗帘盒</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 音乐兼舞蹈教室新作木地板、乳胶漆墙面、无机涂料顶棚，新作窗帘盒</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 党员活动室新作乳胶漆墙面、木踢脚线、石膏板吊顶及墙面亚克力广告板</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）大队部新作乳胶漆墙面、木踢脚线、无机涂料顶棚及墙面亚克力广告板</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）新增走廊强弱电桥架，室内电路改造，灯具换新</w:t>
            </w:r>
          </w:p>
          <w:p>
            <w:pPr>
              <w:pStyle w:val="null3"/>
              <w:jc w:val="both"/>
            </w:pPr>
            <w:r>
              <w:rPr>
                <w:rFonts w:ascii="仿宋_GB2312" w:hAnsi="仿宋_GB2312" w:cs="仿宋_GB2312" w:eastAsia="仿宋_GB2312"/>
              </w:rPr>
              <w:t>三、</w:t>
            </w:r>
            <w:r>
              <w:rPr>
                <w:rFonts w:ascii="仿宋_GB2312" w:hAnsi="仿宋_GB2312" w:cs="仿宋_GB2312" w:eastAsia="仿宋_GB2312"/>
                <w:sz w:val="21"/>
              </w:rPr>
              <w:t>本项目施工工期：60天</w:t>
            </w:r>
          </w:p>
          <w:p>
            <w:pPr>
              <w:pStyle w:val="null3"/>
              <w:jc w:val="left"/>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满足磋商文件、工程量清单要求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采购标的对应的中小企业划分标准所属行业为建筑业。建筑业的划型标准为：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2、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3、供应商需要在线提交所有通过电子化交易平台实施的政府采购项目的响应文件，同时，线下提交纸质响应文件壹份，具体要求详见磋商公告。4、本项目专门面向中小企业采购（残疾人福利性单位、监狱企业视同小型、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已标价工程量清单 技术响应部分.docx 技术商务偏离表.docx 资格证明文件.docx 强制优先采购产品承诺函 身份证明文件.docx 响应文件封面 报价函 标的清单 磋商第一次报价表.docx 其他材料.docx 响应函 磋商函.docx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法人或者其他组织提供营业执照等证明文件，自然人提供身份证件，供应商需在项目电子化交易系统中按要求上传相应证明文件并进行电子签章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 身份证明文件.docx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供应商需在项目电子化交易系统中按要求上传相应证明文件</w:t>
            </w:r>
          </w:p>
        </w:tc>
        <w:tc>
          <w:tcPr>
            <w:tcW w:type="dxa" w:w="1661"/>
          </w:tcPr>
          <w:p>
            <w:pPr>
              <w:pStyle w:val="null3"/>
            </w:pPr>
            <w:r>
              <w:rPr>
                <w:rFonts w:ascii="仿宋_GB2312" w:hAnsi="仿宋_GB2312" w:cs="仿宋_GB2312" w:eastAsia="仿宋_GB2312"/>
              </w:rPr>
              <w:t>响应函 资格证明文件.docx 身份证明文件.docx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参加政府采购活动前3年内在经营活动中没有重大违法记录的书面声明；其中：重大违法记录是指供应商因违法经营受到刑事处罚或者责令停产停业、吊销许可证或者执照、较大数额罚款等行政处罚</w:t>
            </w:r>
          </w:p>
        </w:tc>
        <w:tc>
          <w:tcPr>
            <w:tcW w:type="dxa" w:w="3322"/>
          </w:tcPr>
          <w:p>
            <w:pPr>
              <w:pStyle w:val="null3"/>
            </w:pPr>
            <w:r>
              <w:rPr>
                <w:rFonts w:ascii="仿宋_GB2312" w:hAnsi="仿宋_GB2312" w:cs="仿宋_GB2312" w:eastAsia="仿宋_GB2312"/>
              </w:rPr>
              <w:t>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提供2023年度或2024年度经审计的财务审计报告（事业法人可提供部门决算报告）；或提供开标日前三个月内基本存款账户银行出具的资信证明及基本存款账户银行相关证明资料；或提供政府采购专业担保机构出具的投标担保函，供应商需在项目电子化交易系统中按要求上传相应证明文件</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供应商须具有建筑工程施工总承包三级及以上资质及有效的安全生产许可证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拟派项目负责人证书</w:t>
            </w:r>
          </w:p>
        </w:tc>
        <w:tc>
          <w:tcPr>
            <w:tcW w:type="dxa" w:w="3322"/>
          </w:tcPr>
          <w:p>
            <w:pPr>
              <w:pStyle w:val="null3"/>
            </w:pPr>
            <w:r>
              <w:rPr>
                <w:rFonts w:ascii="仿宋_GB2312" w:hAnsi="仿宋_GB2312" w:cs="仿宋_GB2312" w:eastAsia="仿宋_GB2312"/>
              </w:rPr>
              <w:t>供应商拟派项目负责人具有本企业注册的建筑工程专业二级及以上注册建造师证书及安全考核合格证,且无在建（无在建承诺格式及内容自拟）</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信用状况</w:t>
            </w:r>
          </w:p>
        </w:tc>
        <w:tc>
          <w:tcPr>
            <w:tcW w:type="dxa" w:w="3322"/>
          </w:tcPr>
          <w:p>
            <w:pPr>
              <w:pStyle w:val="null3"/>
            </w:pPr>
            <w:r>
              <w:rPr>
                <w:rFonts w:ascii="仿宋_GB2312" w:hAnsi="仿宋_GB2312" w:cs="仿宋_GB2312" w:eastAsia="仿宋_GB2312"/>
              </w:rPr>
              <w:t>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的网站查询记录为准</w:t>
            </w:r>
          </w:p>
        </w:tc>
        <w:tc>
          <w:tcPr>
            <w:tcW w:type="dxa" w:w="1661"/>
          </w:tcPr>
          <w:p>
            <w:pPr>
              <w:pStyle w:val="null3"/>
            </w:pPr>
            <w:r>
              <w:rPr>
                <w:rFonts w:ascii="仿宋_GB2312" w:hAnsi="仿宋_GB2312" w:cs="仿宋_GB2312" w:eastAsia="仿宋_GB2312"/>
              </w:rPr>
              <w:t>已标价工程量清单 技术响应部分.docx 技术商务偏离表.docx 资格证明文件.docx 强制优先采购产品承诺函 身份证明文件.docx 响应文件封面 报价函 标的清单 磋商第一次报价表.docx 其他材料.docx 响应函 磋商函.docx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内容无重大缺漏项，报价唯一，且没有超过采购预算或限价</w:t>
            </w:r>
          </w:p>
        </w:tc>
        <w:tc>
          <w:tcPr>
            <w:tcW w:type="dxa" w:w="1661"/>
          </w:tcPr>
          <w:p>
            <w:pPr>
              <w:pStyle w:val="null3"/>
            </w:pPr>
            <w:r>
              <w:rPr>
                <w:rFonts w:ascii="仿宋_GB2312" w:hAnsi="仿宋_GB2312" w:cs="仿宋_GB2312" w:eastAsia="仿宋_GB2312"/>
              </w:rPr>
              <w:t>已标价工程量清单 报价函 标的清单 磋商第一次报价表.docx 响应函 强制优先采购产品承诺函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 磋商函.docx 身份证明文件.docx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技术响应部分.docx 技术商务偏离表.docx 磋商第一次报价表.docx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响应有效性</w:t>
            </w:r>
          </w:p>
        </w:tc>
        <w:tc>
          <w:tcPr>
            <w:tcW w:type="dxa" w:w="3322"/>
          </w:tcPr>
          <w:p>
            <w:pPr>
              <w:pStyle w:val="null3"/>
            </w:pPr>
            <w:r>
              <w:rPr>
                <w:rFonts w:ascii="仿宋_GB2312" w:hAnsi="仿宋_GB2312" w:cs="仿宋_GB2312" w:eastAsia="仿宋_GB2312"/>
              </w:rPr>
              <w:t>未出现磋商文件规定的无效响应情形</w:t>
            </w:r>
          </w:p>
        </w:tc>
        <w:tc>
          <w:tcPr>
            <w:tcW w:type="dxa" w:w="1661"/>
          </w:tcPr>
          <w:p>
            <w:pPr>
              <w:pStyle w:val="null3"/>
            </w:pPr>
            <w:r>
              <w:rPr>
                <w:rFonts w:ascii="仿宋_GB2312" w:hAnsi="仿宋_GB2312" w:cs="仿宋_GB2312" w:eastAsia="仿宋_GB2312"/>
              </w:rPr>
              <w:t>已标价工程量清单 技术响应部分.docx 技术商务偏离表.docx 资格证明文件.docx 强制优先采购产品承诺函 身份证明文件.docx 响应文件封面 报价函 标的清单 磋商第一次报价表.docx 其他材料.docx 响应函 磋商函.docx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已标价工程量清单 技术响应部分.docx 技术商务偏离表.docx 资格证明文件.docx 强制优先采购产品承诺函 身份证明文件.docx 响应文件封面 报价函 标的清单 磋商第一次报价表.docx 其他材料.docx 响应函 磋商函.docx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 措施内容能够针对本项目编制，符合项目实际情况及实施要求，内容详尽且涵盖角度基本全面，有一定的合理性和可行性的，得4分; 措施内容基本能够针对本项目编制，基本符合项目实际情况及实施要求，内容较详细，涵盖角度较全面，基本合理可行的，得3分; 具有措施内容但措施内容未贴合本项目，措施内容涵盖角度不全面且实施有难度的，得2分; 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 措施内容能够针对本项目编制，符合项目实际情况及实施要求，内容详尽且涵盖角度基本全面，有一定的合理性和可行性的，得4分; 措施内容基本能够针对本项目编制，基本符合项目实际情况及实施要求，内容较详细，涵盖角度较全面，基本合理可行的，得3分; 具有措施内容但措施内容未贴合本项目，措施内容涵盖角度不全面且实施有难度的，得2分; 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项目安全保证措施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 措施内容能够针对本项目编制，符合项目实际情况及实施要求，内容详尽且涵盖角度基本全面，有一定的合理性和可行性的，得4分; 措施内容基本能够针对本项目编制，基本符合项目实际情况及实施要求，内容较详细，涵盖角度较全面，基本合理可行的，得3分; 具有措施内容但措施内容未贴合本项目，措施内容涵盖角度不全面且实施有难度的，得2分; 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 措施内容能够针对本项目编制，符合项目实际情况及实施要求，内容详尽且涵盖角度基本全面，有一定的合理性和可行性的，得4分; 措施内容基本能够针对本项目编制，基本符合项目实际情况及实施要求，内容较详细，涵盖角度较全面，基本合理可行的，得3分; 具有措施内容但措施内容未贴合本项目，措施内容涵盖角度不全面且实施有难度的，得2分; 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方案专门针对本项目编制，符合项目实际情况及实施要求，内容详尽且涵盖角度全面，合理性和可行性强，能够保障项目顺利实施的，得5分; 方案能够针对本项目编制，符合项目实际情况及实施要求，内容详尽且涵盖角度基本全面，有一定的合理性和可行性的，得4分; 方案基本能够针对本项目编制，基本符合项目实际情况及实施要求，内容较宽泛，涵盖角度不够全面，内容基本合理可行的，得3分; 具有方案内容但内容未贴合本项目，内容涵盖角度不够全面且实施有难度的，得2分; 具有方案内容但内容未针对本项目，内容空洞宽泛，基本不具有可实施性，得1分;未提供方案内容不得分。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施工机械及材料投入计划</w:t>
            </w:r>
          </w:p>
        </w:tc>
        <w:tc>
          <w:tcPr>
            <w:tcW w:type="dxa" w:w="2492"/>
          </w:tcPr>
          <w:p>
            <w:pPr>
              <w:pStyle w:val="null3"/>
            </w:pPr>
            <w:r>
              <w:rPr>
                <w:rFonts w:ascii="仿宋_GB2312" w:hAnsi="仿宋_GB2312" w:cs="仿宋_GB2312" w:eastAsia="仿宋_GB2312"/>
              </w:rPr>
              <w:t>投入计划专门针对本项目编制，符合项目实际情况及实施要求，内容详尽且涵盖角度全面，合理性和可行性强，能够保障项目顺利实施的，得5分; 投入计划基本针对本项目编制，符合项目实际情况及实施要求，内容详尽且涵盖角度基本全面，有一定的合理性和可行性的，得4分; 投入计划能够针对本项目编制，基本符合项目实际情况及实施要求，内容较详细，涵盖角度较全面但略有不完善，基本合理可行的，得3分;提供投入计划，但内容涵盖角度不够全面且实施具有一定难度，得2分; 投入计划内容简单笼统，实施难度大的，得1分;未提供投入计划内容不得分。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施工进度网络图或施工进度表</w:t>
            </w:r>
          </w:p>
        </w:tc>
        <w:tc>
          <w:tcPr>
            <w:tcW w:type="dxa" w:w="2492"/>
          </w:tcPr>
          <w:p>
            <w:pPr>
              <w:pStyle w:val="null3"/>
            </w:pPr>
            <w:r>
              <w:rPr>
                <w:rFonts w:ascii="仿宋_GB2312" w:hAnsi="仿宋_GB2312" w:cs="仿宋_GB2312" w:eastAsia="仿宋_GB2312"/>
              </w:rPr>
              <w:t>网络图或进度表内容详尽、安排合理且实施性强计5分； 网络图或进度表内容详尽、安排合理且实施性较强计4分； 提供网络图或进度表内容、安排基本合理实施性缺乏计3分； 提供网络图或进度表，内容不够全面，实施性不强计2分； 提供网络图或进度表，内容不合理，不具有实施性计1分。未提供网络图或进度表不得分。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安排计划科学全面、内容具体、针对性强计5分； 安排计划基本全面、具有一定针对性计4分； 提供安排计划、内容基本合理、实施性欠妥计3分；提供安排计划，内容不够全面，实施性不强计2分；提供安排计划，内容简单笼统，不具有实施性计1分。未提供安排计划不计分。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项目部组成</w:t>
            </w:r>
          </w:p>
        </w:tc>
        <w:tc>
          <w:tcPr>
            <w:tcW w:type="dxa" w:w="2492"/>
          </w:tcPr>
          <w:p>
            <w:pPr>
              <w:pStyle w:val="null3"/>
            </w:pPr>
            <w:r>
              <w:rPr>
                <w:rFonts w:ascii="仿宋_GB2312" w:hAnsi="仿宋_GB2312" w:cs="仿宋_GB2312" w:eastAsia="仿宋_GB2312"/>
              </w:rPr>
              <w:t>项目部组成科学合理、人员表配置充足，有详细的人员配置清单，针对性强，能够很好的满足项目需求，得5分；项目部组成基本合理、人员表配置基本齐全，具有人员配置清单，有一定的针对性，能够满足项目需求，得4分；提供项目部组成情况，配置基本合理但组成不全面得3分；项目部组成人员缺乏科学合理性，无人员配置清单，无法满足项目需求，得2分； 项目部组成内容简单笼统得1分。未提供项目部组成不得分。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后续服务措施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 措施内容能够针对本项目编制，符合项目实际情况及实施要求，内容详尽且涵盖角度基本全面，有一定的合理性和可行性的，得4分; 措施内容基本能够针对本项目编制，基本符合项目实际情况及实施要求，内容较详细，涵盖角度较全面，基本合理可行的，得3分; 具有措施内容但措施内容未贴合本项目，措施内容涵盖角度不全面且实施有难度的，得2分; 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施工现场扬尘污染防治措施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 措施内容能够针对本项目编制，符合项目实际情况及实施要求，内容详尽且涵盖角度基本全面，有一定的合理性和可行性的，得4分; 措施内容基本能够针对本项目编制，基本符合项目实际情况及实施要求，内容较详细，涵盖角度较全面，基本合理可行的，得3分; 具有措施内容但措施内容未贴合本项目，措施内容涵盖角度不全面且实施有难度的，得2分; 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w:t>
            </w:r>
          </w:p>
        </w:tc>
        <w:tc>
          <w:tcPr>
            <w:tcW w:type="dxa" w:w="2492"/>
          </w:tcPr>
          <w:p>
            <w:pPr>
              <w:pStyle w:val="null3"/>
            </w:pPr>
            <w:r>
              <w:rPr>
                <w:rFonts w:ascii="仿宋_GB2312" w:hAnsi="仿宋_GB2312" w:cs="仿宋_GB2312" w:eastAsia="仿宋_GB2312"/>
              </w:rPr>
              <w:t>应用的技术、产品、工艺、材料等先进科学、可行性高计5分； 应用的技术、产品、工艺、材料等先进科学、可行性较高计4分； 应用的技术、产品、工艺、材料等科学性、可行性缺乏计3分； 应用的技术、产品、工艺、材料等科学性描述脱离实际计2分； 其他情形计1分。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工程质量和质量保修承诺</w:t>
            </w:r>
          </w:p>
        </w:tc>
        <w:tc>
          <w:tcPr>
            <w:tcW w:type="dxa" w:w="2492"/>
          </w:tcPr>
          <w:p>
            <w:pPr>
              <w:pStyle w:val="null3"/>
            </w:pPr>
            <w:r>
              <w:rPr>
                <w:rFonts w:ascii="仿宋_GB2312" w:hAnsi="仿宋_GB2312" w:cs="仿宋_GB2312" w:eastAsia="仿宋_GB2312"/>
              </w:rPr>
              <w:t>承诺方案专门针对本项目编制，符合项目实际情况及实施要求，内容详尽且涵盖角度全面，合理性和可行性强，保障充分，得5分; 承诺方案能够针对本项目编制，符合项目实际情况及实施要求，内容详尽且涵盖角度基本全面，有一定的合理性和可行性的，得4分；承诺方案内容基本能够针对本项目编制，基本符合项目实际情况及实施要求，内容较详细，涵盖角度较全面，基本合理可行的，得3分; 具有承诺内容但内容未贴合本项目，承诺内容涵盖角度不全面且实施有难度的，得2分; 具有承诺内容但内容未针对本项目，内容空洞宽泛，可实施性不强，得1分;未提供承诺内容不得分。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2022年1月1日以来承接过类似项目的合同证明（以合同的签订日期为准）（每提供一个得1分，满分5分）（合同内容须清晰可辨认，无涂改，否则视为无效合同）</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采用低价优先法计算，即满足磋商文件要求且最后报价最低的供应商的价格为磋商基准价，其价格分为满分。磋商报价得分＝（磋商基准价/最后磋商报价）×30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详见附件：磋商第一次报价表.docx</w:t>
      </w:r>
    </w:p>
    <w:p>
      <w:pPr>
        <w:pStyle w:val="null3"/>
        <w:ind w:firstLine="960"/>
      </w:pPr>
      <w:r>
        <w:rPr>
          <w:rFonts w:ascii="仿宋_GB2312" w:hAnsi="仿宋_GB2312" w:cs="仿宋_GB2312" w:eastAsia="仿宋_GB2312"/>
        </w:rPr>
        <w:t>详见附件：磋商函.docx</w:t>
      </w:r>
    </w:p>
    <w:p>
      <w:pPr>
        <w:pStyle w:val="null3"/>
        <w:ind w:firstLine="960"/>
      </w:pPr>
      <w:r>
        <w:rPr>
          <w:rFonts w:ascii="仿宋_GB2312" w:hAnsi="仿宋_GB2312" w:cs="仿宋_GB2312" w:eastAsia="仿宋_GB2312"/>
        </w:rPr>
        <w:t>详见附件：身份证明文件.docx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详见附件：技术商务偏离表.docx</w:t>
      </w:r>
    </w:p>
    <w:p>
      <w:pPr>
        <w:pStyle w:val="null3"/>
        <w:ind w:firstLine="960"/>
      </w:pPr>
      <w:r>
        <w:rPr>
          <w:rFonts w:ascii="仿宋_GB2312" w:hAnsi="仿宋_GB2312" w:cs="仿宋_GB2312" w:eastAsia="仿宋_GB2312"/>
        </w:rPr>
        <w:t>详见附件：技术响应部分.docx</w:t>
      </w:r>
    </w:p>
    <w:p>
      <w:pPr>
        <w:pStyle w:val="null3"/>
        <w:ind w:firstLine="960"/>
      </w:pPr>
      <w:r>
        <w:rPr>
          <w:rFonts w:ascii="仿宋_GB2312" w:hAnsi="仿宋_GB2312" w:cs="仿宋_GB2312" w:eastAsia="仿宋_GB2312"/>
        </w:rPr>
        <w:t>详见附件：其他材料.docx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