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版本号：SXDY-2025-11620250606002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自强路街道办公楼修缮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SXDY-2025-116</w:t>
      </w:r>
      <w:r>
        <w:br/>
      </w:r>
      <w:r>
        <w:br/>
      </w:r>
      <w:r>
        <w:br/>
      </w:r>
    </w:p>
    <w:p>
      <w:pPr>
        <w:pStyle w:val="null3"/>
        <w:jc w:val="center"/>
        <w:outlineLvl w:val="2"/>
      </w:pPr>
      <w:r>
        <w:rPr>
          <w:rFonts w:ascii="仿宋_GB2312" w:hAnsi="仿宋_GB2312" w:cs="仿宋_GB2312" w:eastAsia="仿宋_GB2312"/>
          <w:sz w:val="28"/>
          <w:b/>
        </w:rPr>
        <w:t>西安市新城区自强路街道办事处</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西安市新城区自强路街道办事处</w:t>
      </w:r>
      <w:r>
        <w:rPr>
          <w:rFonts w:ascii="仿宋_GB2312" w:hAnsi="仿宋_GB2312" w:cs="仿宋_GB2312" w:eastAsia="仿宋_GB2312"/>
        </w:rPr>
        <w:t>委托，拟对</w:t>
      </w:r>
      <w:r>
        <w:rPr>
          <w:rFonts w:ascii="仿宋_GB2312" w:hAnsi="仿宋_GB2312" w:cs="仿宋_GB2312" w:eastAsia="仿宋_GB2312"/>
        </w:rPr>
        <w:t>自强路街道办公楼修缮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SXDY-2025-116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自强路街道办公楼修缮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自强路街道办公楼后楼彩钢房顶更换、便民服务大厅屋顶防水处理、餐厅硬件设施维修、办公区域地砖修补等。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采购包1（自强路街道办公楼修缮）：属于专门面向小微企业采购。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审查：1、具有独立承担民事责任能力的法人或其他组织，提供统一社会信用代码的营业执照或事业单位法人证书；2、法定代表人授权书(附法定代表人、被授权人身份证复印件)及被授权人身份证(法定代表人参加投标只需提供本人身份) ；3、投标供应商需具备建筑工程施工总承包三级及以上资质，且具备有效的安全生产许可证，并在人员、设备、资金等方面具有相应的施工能力。其中，拟派本工程的项目经理必须为注册于本单位的建筑工程专业二级及以上建造师，且具有有效的安全生产考核合格证书(B证)，无在建项目；4、书面声明。参加本次政府采购活动前3年内在经 营活动中没有重大违纪，以及未被列入失信被执行人、重大税收违法案件当事人名单、政府采购严重违法失信行为记录名单的书面声明；5、财务状况报告：提供2024或2023年度经审计的完整财务报告或开标日期前三个月内其基本存款账户开户银行出具的资信证明。（如提供资信证明，须同时提供基本存款账户开户许可证或基本账户信息表）；6、税收缴纳证明。提供截止至公开招标时间前六个月内任意一个月的缴费凭据(依法免税的供应商应提 供相关文件证明)；7、社会保障资金缴纳证明。提供参加本次政府采购活动前本单位至少六个月的社会保障资金缴纳证明，申请单位注册时间不满六个月的，应当提供注册时至参加政府采购活动时相应期限内本单位缴纳社会保障资金的清单。依法不需要缴纳社会保障资金的单位应提供相关证明材料，8、供应商不得为“中国执行信息公开网”(http://zxgk.court.gov.cn)中被列入失信被执行人的供应商，不得为 “中国政府采购网” (http://www.ccgp.gov.cn)政府采购严重违法失信行为记录名单中被财政部门禁止参加政府采购活动的供应商；9、单位负责人为同一人或者存在直接控股、管理关系的不同供应商，不得参加同一合同项下的政府采购活动；( 提供书面承诺函。格式自拟加盖公章)。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西安市新城区自强路街道办事处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西安市新城区自强东路491号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崔天元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18222775236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西安市朱雀大街南段汇成天玺酒店 C 座 11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张建龙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029-85450865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采购包1：474,876.19元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代理服务费收费标准：代理服务费收费标准：招标代理服务费以中标价为基准，按国家发改委发改价格[2011]534 号文、国家发展和改革委员会办公厅关于招标代理服务收费有关问题 的通知》（发改办价格[2003]857 号）及国家发改委计价格[2002]1980 号文规定计取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西安市新城区自强路街道办事处</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西安市新城区自强路街道办事处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西安市新城区自强路街道办事处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工程质量必须符合国家相关政策执行标准。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联系人：张建龙</w:t>
      </w:r>
    </w:p>
    <w:p>
      <w:pPr>
        <w:pStyle w:val="null3"/>
      </w:pPr>
      <w:r>
        <w:rPr>
          <w:rFonts w:ascii="仿宋_GB2312" w:hAnsi="仿宋_GB2312" w:cs="仿宋_GB2312" w:eastAsia="仿宋_GB2312"/>
        </w:rPr>
        <w:t>联系电话：029-85450865</w:t>
      </w:r>
    </w:p>
    <w:p>
      <w:pPr>
        <w:pStyle w:val="null3"/>
      </w:pPr>
      <w:r>
        <w:rPr>
          <w:rFonts w:ascii="仿宋_GB2312" w:hAnsi="仿宋_GB2312" w:cs="仿宋_GB2312" w:eastAsia="仿宋_GB2312"/>
        </w:rPr>
        <w:t>地址：西安市朱雀大街南段汇成天玺酒店 C 座 11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474,876.19</w:t>
      </w:r>
    </w:p>
    <w:p>
      <w:pPr>
        <w:pStyle w:val="null3"/>
      </w:pPr>
      <w:r>
        <w:rPr>
          <w:rFonts w:ascii="仿宋_GB2312" w:hAnsi="仿宋_GB2312" w:cs="仿宋_GB2312" w:eastAsia="仿宋_GB2312"/>
        </w:rPr>
        <w:t>采购包最高限价（元）: 474,876.19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自强路街道办公楼修缮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474,876.19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标的名称：自强路街道办公楼修缮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自强路街道办公楼后楼彩钢房顶更换、便民服务大厅屋顶防水处理、餐厅硬件设施维修、办公区域地砖修补等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必须符合国家相关政策执行标准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或2023年度经审计的财务报告（包含审计报告和审计报告中所涉及的财务报表和报表附注），②可提供2024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施工组织设计.docx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供应商资格审查</w:t>
            </w:r>
          </w:p>
        </w:tc>
        <w:tc>
          <w:tcPr>
            <w:tcW w:type="dxa" w:w="3322"/>
          </w:tcPr>
          <w:p>
            <w:pPr>
              <w:pStyle w:val="null3"/>
            </w:pPr>
            <w:r>
              <w:rPr>
                <w:rFonts w:ascii="仿宋_GB2312" w:hAnsi="仿宋_GB2312" w:cs="仿宋_GB2312" w:eastAsia="仿宋_GB2312"/>
              </w:rPr>
              <w:t>1、具有独立承担民事责任能力的法人或其他组织，提供统一社会信用代码的营业执照或事业单位法人证书；2、法定代表人授权书(附法定代表人、被授权人身份证复印件)及被授权人身份证(法定代表人参加投标只需提供本人身份) ；3、投标供应商需具备建筑工程施工总承包三级及以上资质，且具备有效的安全生产许可证，并在人员、设备、资金等方面具有相应的施工能力。其中，拟派本工程的项目经理必须为注册于本单位的建筑工程专业二级及以上建造师，且具有有效的安全生产考核合格证书(B证)，无在建项目；4、书面声明。参加本次政府采购活动前3年内在经 营活动中没有重大违纪，以及未被列入失信被执行人、重大税收违法案件当事人名单、政府采购严重违法失信行为记录名单的书面声明；5、财务状况报告：提供2024或2023年度经审计的完整财务报告或开标日期前三个月内其基本存款账户开户银行出具的资信证明。（如提供资信证明，须同时提供基本存款账户开户许可证或基本账户信息表）；6、税收缴纳证明。提供截止至公开招标时间前六个月内任意一个月的缴费凭据(依法免税的供应商应提 供相关文件证明)；7、社会保障资金缴纳证明。提供参加本次政府采购活动前本单位至少六个月的社会保障资金缴纳证明，申请单位注册时间不满六个月的，应当提供注册时至参加政府采购活动时相应期限内本单位缴纳社会保障资金的清单。依法不需要缴纳社会保障资金的单位应提供相关证明材料，8、供应商不得为“中国执行信息公开网”(http://zxgk.court.gov.cn)中被列入失信被执行人的供应商，不得为 “中国政府采购网” (http://www.ccgp.gov.cn)政府采购严重违法失信行为记录名单中被财政部门禁止参加政府采购活动的供应商；9、单位负责人为同一人或者存在直接控股、管理关系的不同供应商，不得参加同一合同项下的政府采购活动；( 提供书面承诺函。格式自拟加盖公章)。</w:t>
            </w:r>
          </w:p>
        </w:tc>
        <w:tc>
          <w:tcPr>
            <w:tcW w:type="dxa" w:w="1661"/>
          </w:tcPr>
          <w:p>
            <w:pPr>
              <w:pStyle w:val="null3"/>
            </w:pPr>
            <w:r>
              <w:rPr>
                <w:rFonts w:ascii="仿宋_GB2312" w:hAnsi="仿宋_GB2312" w:cs="仿宋_GB2312" w:eastAsia="仿宋_GB2312"/>
              </w:rPr>
              <w:t>响应文件封面 项目管理机构组成表 供应商应提交的相关资格证明材料 技术服务合同条款及其他商务要求应答表 响应函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施工组织设计-施工方案</w:t>
            </w:r>
          </w:p>
        </w:tc>
        <w:tc>
          <w:tcPr>
            <w:tcW w:type="dxa" w:w="2492"/>
          </w:tcPr>
          <w:p>
            <w:pPr>
              <w:pStyle w:val="null3"/>
            </w:pPr>
            <w:r>
              <w:rPr>
                <w:rFonts w:ascii="仿宋_GB2312" w:hAnsi="仿宋_GB2312" w:cs="仿宋_GB2312" w:eastAsia="仿宋_GB2312"/>
              </w:rPr>
              <w:t>根据方案的完整性、针对性和可操作性，根据响应程度优得(3-5]分，良得(2-3]，一般得(0-2]；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施工组织设计-质量措施</w:t>
            </w:r>
          </w:p>
        </w:tc>
        <w:tc>
          <w:tcPr>
            <w:tcW w:type="dxa" w:w="2492"/>
          </w:tcPr>
          <w:p>
            <w:pPr>
              <w:pStyle w:val="null3"/>
            </w:pPr>
            <w:r>
              <w:rPr>
                <w:rFonts w:ascii="仿宋_GB2312" w:hAnsi="仿宋_GB2312" w:cs="仿宋_GB2312" w:eastAsia="仿宋_GB2312"/>
              </w:rPr>
              <w:t>确保工程质量的技术组织措施，根据响应程度优得(3-5]分，良得(2-3]，一般得(0-2]；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施工组织设计-进度计划</w:t>
            </w:r>
          </w:p>
        </w:tc>
        <w:tc>
          <w:tcPr>
            <w:tcW w:type="dxa" w:w="2492"/>
          </w:tcPr>
          <w:p>
            <w:pPr>
              <w:pStyle w:val="null3"/>
            </w:pPr>
            <w:r>
              <w:rPr>
                <w:rFonts w:ascii="仿宋_GB2312" w:hAnsi="仿宋_GB2312" w:cs="仿宋_GB2312" w:eastAsia="仿宋_GB2312"/>
              </w:rPr>
              <w:t>施工进度表或施工网络图、关键材质样品的质量等，根据响应程度优得(3-5]分，良得(2-3]，一般得(0-2]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施工组织设计-工期措施</w:t>
            </w:r>
          </w:p>
        </w:tc>
        <w:tc>
          <w:tcPr>
            <w:tcW w:type="dxa" w:w="2492"/>
          </w:tcPr>
          <w:p>
            <w:pPr>
              <w:pStyle w:val="null3"/>
            </w:pPr>
            <w:r>
              <w:rPr>
                <w:rFonts w:ascii="仿宋_GB2312" w:hAnsi="仿宋_GB2312" w:cs="仿宋_GB2312" w:eastAsia="仿宋_GB2312"/>
              </w:rPr>
              <w:t>确保工期的技术组织措施，根据响应程度优得(3-5]分，良得(2-3]，一般得(0-2]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施工组织设计-项目人员</w:t>
            </w:r>
          </w:p>
        </w:tc>
        <w:tc>
          <w:tcPr>
            <w:tcW w:type="dxa" w:w="2492"/>
          </w:tcPr>
          <w:p>
            <w:pPr>
              <w:pStyle w:val="null3"/>
            </w:pPr>
            <w:r>
              <w:rPr>
                <w:rFonts w:ascii="仿宋_GB2312" w:hAnsi="仿宋_GB2312" w:cs="仿宋_GB2312" w:eastAsia="仿宋_GB2312"/>
              </w:rPr>
              <w:t>根据项目实施的人员组成情况，方案计划的合理性、先进性等，根据响应程度优得(3-5]分，良得( 2-3]，一般得(0-2]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施工组织设计-文明施工</w:t>
            </w:r>
          </w:p>
        </w:tc>
        <w:tc>
          <w:tcPr>
            <w:tcW w:type="dxa" w:w="2492"/>
          </w:tcPr>
          <w:p>
            <w:pPr>
              <w:pStyle w:val="null3"/>
            </w:pPr>
            <w:r>
              <w:rPr>
                <w:rFonts w:ascii="仿宋_GB2312" w:hAnsi="仿宋_GB2312" w:cs="仿宋_GB2312" w:eastAsia="仿宋_GB2312"/>
              </w:rPr>
              <w:t>确保文明施工的技术组织措施及环境保护（噪音、扬尘）措施 ，根据响应程度优得(3-5]分，良得(2-3]，一般得(0-2]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施工组织设计-设备机械</w:t>
            </w:r>
          </w:p>
        </w:tc>
        <w:tc>
          <w:tcPr>
            <w:tcW w:type="dxa" w:w="2492"/>
          </w:tcPr>
          <w:p>
            <w:pPr>
              <w:pStyle w:val="null3"/>
            </w:pPr>
            <w:r>
              <w:rPr>
                <w:rFonts w:ascii="仿宋_GB2312" w:hAnsi="仿宋_GB2312" w:cs="仿宋_GB2312" w:eastAsia="仿宋_GB2312"/>
              </w:rPr>
              <w:t>拟投入本项目的设备、机械、工具等，根据响应程度优得(3-5]分，良得(2-3]，一般得(0-2]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施工组织设计-协调应急</w:t>
            </w:r>
          </w:p>
        </w:tc>
        <w:tc>
          <w:tcPr>
            <w:tcW w:type="dxa" w:w="2492"/>
          </w:tcPr>
          <w:p>
            <w:pPr>
              <w:pStyle w:val="null3"/>
            </w:pPr>
            <w:r>
              <w:rPr>
                <w:rFonts w:ascii="仿宋_GB2312" w:hAnsi="仿宋_GB2312" w:cs="仿宋_GB2312" w:eastAsia="仿宋_GB2312"/>
              </w:rPr>
              <w:t>确保项目正常实施的协调工作及在施工过程中发生紧急情况时的应急措施，根据响应程度优得(3-5 ]分，良得(2-3]，一般得(0-2]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施工组织设计-安全措施</w:t>
            </w:r>
          </w:p>
        </w:tc>
        <w:tc>
          <w:tcPr>
            <w:tcW w:type="dxa" w:w="2492"/>
          </w:tcPr>
          <w:p>
            <w:pPr>
              <w:pStyle w:val="null3"/>
            </w:pPr>
            <w:r>
              <w:rPr>
                <w:rFonts w:ascii="仿宋_GB2312" w:hAnsi="仿宋_GB2312" w:cs="仿宋_GB2312" w:eastAsia="仿宋_GB2312"/>
              </w:rPr>
              <w:t>确保安全的生产技术组织措施，根据响应程度优得( 3-5]分，良得(2-3]，一般得(0-2]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优化服务</w:t>
            </w:r>
          </w:p>
        </w:tc>
        <w:tc>
          <w:tcPr>
            <w:tcW w:type="dxa" w:w="2492"/>
          </w:tcPr>
          <w:p>
            <w:pPr>
              <w:pStyle w:val="null3"/>
            </w:pPr>
            <w:r>
              <w:rPr>
                <w:rFonts w:ascii="仿宋_GB2312" w:hAnsi="仿宋_GB2312" w:cs="仿宋_GB2312" w:eastAsia="仿宋_GB2312"/>
              </w:rPr>
              <w:t>1、针对本项目保修期内、期满后的服务承诺及合理化建议，具体明确的措施及承诺，根据响应程度优得(6-10]分，良得(3-6]，一般 得(0-3]。2、依据保修承诺书的质保时长、服务质量等，根据响应程度优得(4-5]分 ，良得(2-4]，一般得(0-1]。</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提供2022年5月(以合同签订日期为准)至今已完成的类似项目业绩，(以加盖公章的合同或 中标通知书复印件为依据)每提供一例得2.5分，本项累计最高得10分。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1、价格分统一采用低价优先法计算，即满足文件要求且价格最低的报价为基准价，其价格分为满分。其他供应商的价格分统一按照下列公式计算:报价得分=(基准价/报价)x 价格权值x100(注:计算分数时四舍五入取小数点后两位)。 2、落实政府采购政策：本项目为专门面向中小企业采购，价格不做调整。</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