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版本号：LZBE2025-64320250521001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综合实验楼改造扩建室外管网及装修项目设计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LZBE2025-643</w:t>
      </w:r>
      <w:r>
        <w:br/>
      </w:r>
      <w:r>
        <w:br/>
      </w:r>
      <w:r>
        <w:br/>
      </w:r>
    </w:p>
    <w:p>
      <w:pPr>
        <w:pStyle w:val="null3"/>
        <w:jc w:val="center"/>
        <w:outlineLvl w:val="2"/>
      </w:pPr>
      <w:r>
        <w:rPr>
          <w:rFonts w:ascii="仿宋_GB2312" w:hAnsi="仿宋_GB2312" w:cs="仿宋_GB2312" w:eastAsia="仿宋_GB2312"/>
          <w:sz w:val="28"/>
          <w:b/>
        </w:rPr>
        <w:t>西安市第七十二中学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西安市第七十二中学</w:t>
      </w:r>
      <w:r>
        <w:rPr>
          <w:rFonts w:ascii="仿宋_GB2312" w:hAnsi="仿宋_GB2312" w:cs="仿宋_GB2312" w:eastAsia="仿宋_GB2312"/>
        </w:rPr>
        <w:t>委托，拟对</w:t>
      </w:r>
      <w:r>
        <w:rPr>
          <w:rFonts w:ascii="仿宋_GB2312" w:hAnsi="仿宋_GB2312" w:cs="仿宋_GB2312" w:eastAsia="仿宋_GB2312"/>
        </w:rPr>
        <w:t>综合实验楼改造扩建室外管网及装修项目设计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LZBE2025-643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综合实验楼改造扩建室外管网及装修项目设计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本项目拟采购综合实验楼改造扩建室外管网及装修项目设计一项，具体详见采购文件。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7、资质要求：供应商须具备工程设计综合甲级资质或建筑行业设计乙级及以上资质或建筑行业（建筑工程）专业乙级及以上资质，供应商需在项目电子化交易系统中按要求上传相应证明文件并进行电子签章</w:t>
      </w:r>
    </w:p>
    <w:p>
      <w:pPr>
        <w:pStyle w:val="null3"/>
      </w:pPr>
      <w:r>
        <w:rPr>
          <w:rFonts w:ascii="仿宋_GB2312" w:hAnsi="仿宋_GB2312" w:cs="仿宋_GB2312" w:eastAsia="仿宋_GB2312"/>
        </w:rPr>
        <w:t>8、拟派设计负责人：具备相关专业高级工程师证书或一级注册建筑师证书，并且是本单位在册的技术人员（提供证明材料），供应商需在项目电子化交易系统中按要求上传相应证明文件并进行电子签章</w:t>
      </w:r>
    </w:p>
    <w:p>
      <w:pPr>
        <w:pStyle w:val="null3"/>
      </w:pPr>
      <w:r>
        <w:rPr>
          <w:rFonts w:ascii="仿宋_GB2312" w:hAnsi="仿宋_GB2312" w:cs="仿宋_GB2312" w:eastAsia="仿宋_GB2312"/>
        </w:rPr>
        <w:t>9、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西安市第七十二中学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西安市新城区长缨西路50号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029-82513063转808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有关规定收取。2、成交单位在领取成交通知书之前，须向代理机构支付招标代理服务费。3、招标代理服务费以转账或现金形式缴纳至以下账户：开户名称：龙寰项目管理咨询有限公司，开户银行：平安银行西安高新路支行，账号：30201278016611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西安市第七十二中学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西安市第七十二中学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西安市第七十二中学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满足国家及行业标准，满足采购文件要求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本项目拟采购综合实验楼改造扩建室外管网及装修项目设计一项，具体详见采购文件。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综合实验楼改造扩建室外管网及装修设计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标的名称：综合实验楼改造扩建室外管网及装修设计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采购内容及要求：</w:t>
            </w:r>
          </w:p>
          <w:p>
            <w:pPr>
              <w:pStyle w:val="null3"/>
            </w:pPr>
            <w:r>
              <w:rPr>
                <w:rFonts w:ascii="仿宋_GB2312" w:hAnsi="仿宋_GB2312" w:cs="仿宋_GB2312" w:eastAsia="仿宋_GB2312"/>
              </w:rPr>
              <w:t>根据项目需求，本次设计招标采购内容应围绕机电安装设计、扩建楼与现状教学楼连接钢结构部分及室外管网设计三大核心任务展开，同时涵盖配套服务及技术要求。具体采购内容框架如下：</w:t>
            </w:r>
          </w:p>
          <w:p>
            <w:pPr>
              <w:pStyle w:val="null3"/>
            </w:pPr>
            <w:r>
              <w:rPr>
                <w:rFonts w:ascii="仿宋_GB2312" w:hAnsi="仿宋_GB2312" w:cs="仿宋_GB2312" w:eastAsia="仿宋_GB2312"/>
              </w:rPr>
              <w:t>一、机电安装设计内容</w:t>
            </w:r>
          </w:p>
          <w:p>
            <w:pPr>
              <w:pStyle w:val="null3"/>
            </w:pPr>
            <w:r>
              <w:rPr>
                <w:rFonts w:ascii="仿宋_GB2312" w:hAnsi="仿宋_GB2312" w:cs="仿宋_GB2312" w:eastAsia="仿宋_GB2312"/>
              </w:rPr>
              <w:t>1.主体建筑机电系统设计</w:t>
            </w:r>
          </w:p>
          <w:p>
            <w:pPr>
              <w:pStyle w:val="null3"/>
            </w:pPr>
            <w:r>
              <w:rPr>
                <w:rFonts w:ascii="仿宋_GB2312" w:hAnsi="仿宋_GB2312" w:cs="仿宋_GB2312" w:eastAsia="仿宋_GB2312"/>
              </w:rPr>
              <w:t>电气系统：高低压配电、照明、应急电源、防雷接地设计。给排水系统：室内外给排水管网、消防系统。暖通空调系统：通风与防排烟系统。消防系统：火灾自动报警、消防联动控制、应急疏散指示系统设计。节能设计：节能设备选型（如：</w:t>
            </w:r>
            <w:r>
              <w:rPr>
                <w:rFonts w:ascii="仿宋_GB2312" w:hAnsi="仿宋_GB2312" w:cs="仿宋_GB2312" w:eastAsia="仿宋_GB2312"/>
              </w:rPr>
              <w:t>LED照明）。</w:t>
            </w:r>
          </w:p>
          <w:p>
            <w:pPr>
              <w:pStyle w:val="null3"/>
            </w:pPr>
            <w:r>
              <w:rPr>
                <w:rFonts w:ascii="仿宋_GB2312" w:hAnsi="仿宋_GB2312" w:cs="仿宋_GB2312" w:eastAsia="仿宋_GB2312"/>
              </w:rPr>
              <w:t>二、钢结构连接设计内容</w:t>
            </w:r>
          </w:p>
          <w:p>
            <w:pPr>
              <w:pStyle w:val="null3"/>
            </w:pPr>
            <w:r>
              <w:rPr>
                <w:rFonts w:ascii="仿宋_GB2312" w:hAnsi="仿宋_GB2312" w:cs="仿宋_GB2312" w:eastAsia="仿宋_GB2312"/>
              </w:rPr>
              <w:t>新增钢结构连廊</w:t>
            </w:r>
            <w:r>
              <w:rPr>
                <w:rFonts w:ascii="仿宋_GB2312" w:hAnsi="仿宋_GB2312" w:cs="仿宋_GB2312" w:eastAsia="仿宋_GB2312"/>
              </w:rPr>
              <w:t>/通道确保抗震性能及荷载传递安全。</w:t>
            </w:r>
          </w:p>
          <w:p>
            <w:pPr>
              <w:pStyle w:val="null3"/>
            </w:pPr>
            <w:r>
              <w:rPr>
                <w:rFonts w:ascii="仿宋_GB2312" w:hAnsi="仿宋_GB2312" w:cs="仿宋_GB2312" w:eastAsia="仿宋_GB2312"/>
              </w:rPr>
              <w:t>此部分共</w:t>
            </w:r>
            <w:r>
              <w:rPr>
                <w:rFonts w:ascii="仿宋_GB2312" w:hAnsi="仿宋_GB2312" w:cs="仿宋_GB2312" w:eastAsia="仿宋_GB2312"/>
              </w:rPr>
              <w:t>4层，一层为架空层，二层至四层每层设计3间教师办公室。四层设计为跃层式办公。</w:t>
            </w:r>
          </w:p>
          <w:p>
            <w:pPr>
              <w:pStyle w:val="null3"/>
            </w:pPr>
            <w:r>
              <w:rPr>
                <w:rFonts w:ascii="仿宋_GB2312" w:hAnsi="仿宋_GB2312" w:cs="仿宋_GB2312" w:eastAsia="仿宋_GB2312"/>
              </w:rPr>
              <w:t>机电安装及装修设计满足功能使用要求及防火要求。</w:t>
            </w:r>
          </w:p>
          <w:p>
            <w:pPr>
              <w:pStyle w:val="null3"/>
            </w:pPr>
            <w:r>
              <w:rPr>
                <w:rFonts w:ascii="仿宋_GB2312" w:hAnsi="仿宋_GB2312" w:cs="仿宋_GB2312" w:eastAsia="仿宋_GB2312"/>
              </w:rPr>
              <w:t>三、室外管网设计内容</w:t>
            </w:r>
          </w:p>
          <w:p>
            <w:pPr>
              <w:pStyle w:val="null3"/>
            </w:pPr>
            <w:r>
              <w:rPr>
                <w:rFonts w:ascii="仿宋_GB2312" w:hAnsi="仿宋_GB2312" w:cs="仿宋_GB2312" w:eastAsia="仿宋_GB2312"/>
              </w:rPr>
              <w:t>给排水管网：雨水、污水系统设计，与市政管网对接方案。电力及通信管：室外电缆沟、强弱电井、通信管线综合布置。优化管线交叉排布，规避与绿化、道路、地下设施的冲突。</w:t>
            </w:r>
            <w:r>
              <w:rPr>
                <w:rFonts w:ascii="仿宋_GB2312" w:hAnsi="仿宋_GB2312" w:cs="仿宋_GB2312" w:eastAsia="仿宋_GB2312"/>
              </w:rPr>
              <w:t xml:space="preserve">  </w:t>
            </w:r>
          </w:p>
          <w:p>
            <w:pPr>
              <w:pStyle w:val="null3"/>
            </w:pPr>
            <w:r>
              <w:rPr>
                <w:rFonts w:ascii="仿宋_GB2312" w:hAnsi="仿宋_GB2312" w:cs="仿宋_GB2312" w:eastAsia="仿宋_GB2312"/>
              </w:rPr>
              <w:t>道路与绿化恢复：管网施工后的路面修复、绿化带重建及排水沟设计。</w:t>
            </w:r>
            <w:r>
              <w:rPr>
                <w:rFonts w:ascii="仿宋_GB2312" w:hAnsi="仿宋_GB2312" w:cs="仿宋_GB2312" w:eastAsia="仿宋_GB2312"/>
              </w:rPr>
              <w:t xml:space="preserve">    </w:t>
            </w:r>
          </w:p>
          <w:p>
            <w:pPr>
              <w:pStyle w:val="null3"/>
            </w:pPr>
            <w:r>
              <w:rPr>
                <w:rFonts w:ascii="仿宋_GB2312" w:hAnsi="仿宋_GB2312" w:cs="仿宋_GB2312" w:eastAsia="仿宋_GB2312"/>
              </w:rPr>
              <w:t>四、特别说明</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设计需兼顾教学功能需求（如实验室特殊通风、多媒体设备供电）及学生安全（如连廊防滑、紧急疏散通道）。优先选用绿色建材与节能技术，符合《绿色建筑评价标准》。通过上述采购内容，可系统性完成机电安装、钢结构连接及室外管网设计，确保项目功能完善、安全可靠，并快速投入教学使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设计周期：</w:t>
            </w:r>
            <w:r>
              <w:rPr>
                <w:rFonts w:ascii="仿宋_GB2312" w:hAnsi="仿宋_GB2312" w:cs="仿宋_GB2312" w:eastAsia="仿宋_GB2312"/>
              </w:rPr>
              <w:t>自合同签订之日起</w:t>
            </w:r>
            <w:r>
              <w:rPr>
                <w:rFonts w:ascii="仿宋_GB2312" w:hAnsi="仿宋_GB2312" w:cs="仿宋_GB2312" w:eastAsia="仿宋_GB2312"/>
              </w:rPr>
              <w:t>15</w:t>
            </w:r>
            <w:r>
              <w:rPr>
                <w:rFonts w:ascii="仿宋_GB2312" w:hAnsi="仿宋_GB2312" w:cs="仿宋_GB2312" w:eastAsia="仿宋_GB2312"/>
              </w:rPr>
              <w:t>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服务期限：</w:t>
            </w:r>
            <w:r>
              <w:rPr>
                <w:rFonts w:ascii="仿宋_GB2312" w:hAnsi="仿宋_GB2312" w:cs="仿宋_GB2312" w:eastAsia="仿宋_GB2312"/>
                <w:sz w:val="21"/>
              </w:rPr>
              <w:t>本项目需根据施工进度向甲方提供伴随工程实施的设计服务，具体服务期限以实际施工工期为准。</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设计周期：自合同签订之日起15日。服务期限：本项目需根据施工进度向甲方提供伴随工程实施的设计服务，具体服务期限以实际施工工期为准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（一）本项目验收费用，由成交人自行承担。 （二）验收合格后，填写项目验收单并向甲方提交所有资料，以便甲方日后管理和维护。 （三）验收依据： 1.本合同及附加文本； 2.采购文件、成交人的响应文件及澄清函（若有）；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甲方确定供应商初步设计方案后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（一）按《中华人民共和国民法典》中的相关条款执行。 （二）按合同要求提供服务或服务质量不能满足采购技术要求，乙方必须无条件提高技术，完善服务质量，否则，甲方会同监督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 2、合同争议解决的方式 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3、供应商需要在线提交所有通过电子化交易平台实施的政府采购项目的响应文件，同时，线下提交纸质响应文件壹份，具体要求详见磋商公告。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方案响应部分.docx 开标一览表及报价明细表.docx 磋商响应函.docx 中小企业声明函 商务应答表 承诺书.docx 报价表 身份证明文件.docx 响应文件封面 相关资格证明资料.docx 残疾人福利性单位声明函 标的清单 其他资料.docx 响应函 监狱企业的证明文件 供应商认为有必要说明的其他事项.docx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供应商须具备工程设计综合甲级资质或建筑行业设计乙级及以上资质或建筑行业（建筑工程）专业乙级及以上资质，供应商需在项目电子化交易系统中按要求上传相应证明文件并进行电子签章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拟派设计负责人</w:t>
            </w:r>
          </w:p>
        </w:tc>
        <w:tc>
          <w:tcPr>
            <w:tcW w:type="dxa" w:w="3322"/>
          </w:tcPr>
          <w:p>
            <w:pPr>
              <w:pStyle w:val="null3"/>
            </w:pPr>
            <w:r>
              <w:rPr>
                <w:rFonts w:ascii="仿宋_GB2312" w:hAnsi="仿宋_GB2312" w:cs="仿宋_GB2312" w:eastAsia="仿宋_GB2312"/>
              </w:rPr>
              <w:t>具备相关专业高级工程师证书或一级注册建筑师证书，并且是本单位在册的技术人员（提供证明材料），供应商需在项目电子化交易系统中按要求上传相应证明文件并进行电子签章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方案响应部分.docx 开标一览表及报价明细表.docx 磋商响应函.docx 中小企业声明函 商务应答表 承诺书.docx 报价表 身份证明文件.docx 响应文件封面 相关资格证明资料.docx 残疾人福利性单位声明函 标的清单 其他资料.docx 响应函 监狱企业的证明文件 供应商认为有必要说明的其他事项.docx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磋商响应函.docx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方案响应部分.docx 开标一览表及报价明细表.docx 磋商响应函.docx 中小企业声明函 商务应答表 承诺书.docx 报价表 身份证明文件.docx 响应文件封面 相关资格证明资料.docx 残疾人福利性单位声明函 标的清单 其他资料.docx 响应函 监狱企业的证明文件 供应商认为有必要说明的其他事项.docx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开标一览表及报价明细表.docx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设计周期及服务期限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开标一览表及报价明细表.docx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方案响应部分.docx 开标一览表及报价明细表.docx 磋商响应函.docx 中小企业声明函 商务应答表 承诺书.docx 报价表 身份证明文件.docx 响应文件封面 相关资格证明资料.docx 残疾人福利性单位声明函 标的清单 其他资料.docx 响应函 监狱企业的证明文件 供应商认为有必要说明的其他事项.docx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针对本项目进行项目需求分析，内容包括：①项目背景；②工作内容、要求和工作范围等；③项目设计工作中的重点、难点进行分析及应对措施；二、评审标准：1、完整性：内容必须全面，对评审内容中的各项要求有详细描述；2、可实施性：切合本项目实际情况，提出清晰、合理的内容；3、针对性：内容能够紧扣项目实际情况，内容科学合理。三、赋分标准（满分9分）：①项目背景：每完全满足一个评审标准得1分，满分3分；②工作内容、要求和工作范围等:每完全满足一个评审标准得1分，满分3分；③项目设计工作中的重点、难点进行分析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设计服务方案</w:t>
            </w:r>
          </w:p>
        </w:tc>
        <w:tc>
          <w:tcPr>
            <w:tcW w:type="dxa" w:w="2492"/>
          </w:tcPr>
          <w:p>
            <w:pPr>
              <w:pStyle w:val="null3"/>
            </w:pPr>
            <w:r>
              <w:rPr>
                <w:rFonts w:ascii="仿宋_GB2312" w:hAnsi="仿宋_GB2312" w:cs="仿宋_GB2312" w:eastAsia="仿宋_GB2312"/>
              </w:rPr>
              <w:t>一、评审内容：针对本项目提出设计服务方案包括：①设计范围和内容、依据；②设计总体方案；③安全保障措施；④进度安排及保障措施；⑤成果控制保障措施；⑥工程造价控制措施；二、评审标准：1、完整性：内容必须全面，对评审内容中的各项要求有详细描述；2、可实施性：切合本项目实际情况，提出步骤清晰、合理的内容；3、针对性：内容能够紧扣项目实际情况，科学合理。三、赋分标准（满分18分）：①设计范围和内容、依据：每完全满足一个评审标准得1分，满分3分；②设计总体方案:每完全满足一个评审标准得1分，满分3分；③安全保障措施:每完全满足一个评审标准得1分，满分3分；④进度安排及保障措施:每完全满足一个评审标准得1分，满分3分；⑤成果控制保障措施:每完全满足一个评审标准得1分，满分3分；⑥工程造价控制措施: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提供具体可行的质量保证方案，内容包括①质量控制保障措施；②设计规范和标准；③设计流程；④设计阶段控制；二、评审标准：1、完整性：内容必须全面，对评审内容中的各项要求有详细描述；2、可实施性：切合本项目实际情况，提出步骤清晰、合理的内容；3、针对性：内容能够紧扣项目实际情况，科学合理。三、赋分标准（满分12分）：①质量控制保障措施：每完全满足一个评审标准得1分，满分3分；②设计规范和标准:每完全满足一个评审标准得1分，满分3分；③设计流程:每完全满足一个评审标准得1分，满分3分；④设计阶段控制：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根据本项目拟投入的人员进行评审，内容包括：①人员数量、结构；②人员专业、工作经验；③人员管理制度；二、评审标准：1、完整性：内容必须全面，对评审内容中的各项要求有详细描述；2、可实施性：切合本项目实际情况，提出步骤清晰、合理的内容；3、针对性：内容能够紧扣项目实际情况，科学合理。三、赋分标准（满分18分）①人员数量、结构：每完全满足一个评审标准得2分，满分6分；②人员专业、工作经验:每完全满足一个评审标准得2分，满分6分；③人员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交付成果</w:t>
            </w:r>
          </w:p>
        </w:tc>
        <w:tc>
          <w:tcPr>
            <w:tcW w:type="dxa" w:w="2492"/>
          </w:tcPr>
          <w:p>
            <w:pPr>
              <w:pStyle w:val="null3"/>
            </w:pPr>
            <w:r>
              <w:rPr>
                <w:rFonts w:ascii="仿宋_GB2312" w:hAnsi="仿宋_GB2312" w:cs="仿宋_GB2312" w:eastAsia="仿宋_GB2312"/>
              </w:rPr>
              <w:t>一、评审内容：针对本项目提供具体可行的交付成果方案，内容包括①资料管理制度；②资料管理人员配备和安排；③设计过程资料、成果文件等相关资料移交方案。二、评审标准：1、完整性：内容必须全面，对评审内容中的各项要求有详细描述；2、可实施性：切合本项目实际情况，提出步骤清晰、合理的内容；3、针对性：内容能够紧扣项目实际情况，科学合理。三、赋分标准（满分18分）①资料管理制度：每完全满足一个评审标准得2分，满分6分；②资料管理人员配备和安排:每完全满足一个评审标准得2分，满分6分；③设计过程资料、成果文件等相关资料移交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提供针对本项目的服务承诺，承诺内容包含：①服务承诺；②合理化建议；③应急预案；④增值服务。二、评审标准：1、完整性：内容必须全面，对评审内容中的各项要求有详细描述；2、可实施性：切合本项目实际情况，提出步骤清晰、合理的内容；3、针对性：内容能够紧扣项目实际情况，科学合理。三、赋分标准（满分12分）：①服务承诺：每完全满足一个评审标准得1分，满分3分；②合理化建议:每完全满足一个评审标准得1分，满分3分；③应急预案:每完全满足一个评审标准得1分，满分3分；④增值服务: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自2022年1月1日起至今类似设计项目业绩。业绩以合同为准。（时间以签订的合同日期为准）,每份计1分,最高得3分。注：合同内容须清晰可辨认，否则视为无效合同。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开标一览表及报价明细表.docx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详见附件：开标一览表及报价明细表.docx</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详见附件：方案响应部分.docx</w:t>
      </w:r>
    </w:p>
    <w:p>
      <w:pPr>
        <w:pStyle w:val="null3"/>
        <w:ind w:firstLine="960"/>
      </w:pPr>
      <w:r>
        <w:rPr>
          <w:rFonts w:ascii="仿宋_GB2312" w:hAnsi="仿宋_GB2312" w:cs="仿宋_GB2312" w:eastAsia="仿宋_GB2312"/>
        </w:rPr>
        <w:t>详见附件：供应商认为有必要说明的其他事项.docx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