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版本号：ZJXG202505020250611001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教师办公电脑采购项目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ZJXG2025050</w:t>
      </w:r>
      <w:r>
        <w:br/>
      </w:r>
      <w:r>
        <w:br/>
      </w:r>
      <w:r>
        <w:br/>
      </w:r>
    </w:p>
    <w:p>
      <w:pPr>
        <w:pStyle w:val="null3"/>
        <w:jc w:val="center"/>
        <w:outlineLvl w:val="2"/>
      </w:pPr>
      <w:r>
        <w:rPr>
          <w:rFonts w:ascii="仿宋_GB2312" w:hAnsi="仿宋_GB2312" w:cs="仿宋_GB2312" w:eastAsia="仿宋_GB2312"/>
          <w:sz w:val="28"/>
          <w:b/>
        </w:rPr>
        <w:t>西安市华山中学</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西安市华山中学</w:t>
      </w:r>
      <w:r>
        <w:rPr>
          <w:rFonts w:ascii="仿宋_GB2312" w:hAnsi="仿宋_GB2312" w:cs="仿宋_GB2312" w:eastAsia="仿宋_GB2312"/>
        </w:rPr>
        <w:t>委托，拟对</w:t>
      </w:r>
      <w:r>
        <w:rPr>
          <w:rFonts w:ascii="仿宋_GB2312" w:hAnsi="仿宋_GB2312" w:cs="仿宋_GB2312" w:eastAsia="仿宋_GB2312"/>
        </w:rPr>
        <w:t>教师办公电脑采购项目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教师办公电脑采购项目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西安市华山中学教师办公电脑采购项目，详见竞争性磋商文件。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1、有效的资格证明主体：具有独立承担民事责任能力的法人、其他组织或自然人，并出具合法有效的相关证明材料。供应商需在项目电子化交易系统中按要求上传相应证明文件并进行电子签章；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西安市华山中学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西安市康乐路88号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西安市华山中学经办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029-83202661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 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西安市华山中学</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西安市华山中学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西安市华山中学教师办公电脑采购项目，详见竞争性磋商文件。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1,060,000.00</w:t>
      </w:r>
    </w:p>
    <w:p>
      <w:pPr>
        <w:pStyle w:val="null3"/>
      </w:pPr>
      <w:r>
        <w:rPr>
          <w:rFonts w:ascii="仿宋_GB2312" w:hAnsi="仿宋_GB2312" w:cs="仿宋_GB2312" w:eastAsia="仿宋_GB2312"/>
        </w:rPr>
        <w:t>采购包最高限价（元）: 1,060,000.00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1060000</w:t>
            </w:r>
          </w:p>
        </w:tc>
        <w:tc>
          <w:tcPr>
            <w:tcW w:type="dxa" w:w="831"/>
          </w:tcPr>
          <w:p>
            <w:pPr>
              <w:pStyle w:val="null3"/>
              <w:jc w:val="right"/>
            </w:pPr>
            <w:r>
              <w:rPr>
                <w:rFonts w:ascii="仿宋_GB2312" w:hAnsi="仿宋_GB2312" w:cs="仿宋_GB2312" w:eastAsia="仿宋_GB2312"/>
              </w:rPr>
              <w:t>212.00</w:t>
            </w:r>
          </w:p>
        </w:tc>
        <w:tc>
          <w:tcPr>
            <w:tcW w:type="dxa" w:w="831"/>
          </w:tcPr>
          <w:p>
            <w:pPr>
              <w:pStyle w:val="null3"/>
              <w:jc w:val="right"/>
            </w:pPr>
            <w:r>
              <w:rPr>
                <w:rFonts w:ascii="仿宋_GB2312" w:hAnsi="仿宋_GB2312" w:cs="仿宋_GB2312" w:eastAsia="仿宋_GB2312"/>
              </w:rPr>
              <w:t>1,060,000.00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标的名称：1060000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22"/>
              <w:gridCol w:w="2031"/>
            </w:tblGrid>
            <w:tr>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0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规格参数</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办公电脑</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ARM架构，</w:t>
                  </w:r>
                  <w:r>
                    <w:rPr>
                      <w:rFonts w:ascii="仿宋_GB2312" w:hAnsi="仿宋_GB2312" w:cs="仿宋_GB2312" w:eastAsia="仿宋_GB2312"/>
                      <w:sz w:val="21"/>
                    </w:rPr>
                    <w:t>CPU：核心数≥8核，主频≥2.3GHz，TDP≤15W</w:t>
                  </w:r>
                </w:p>
                <w:p>
                  <w:pPr>
                    <w:pStyle w:val="null3"/>
                    <w:ind w:firstLine="210"/>
                    <w:jc w:val="both"/>
                  </w:pPr>
                  <w:r>
                    <w:rPr>
                      <w:rFonts w:ascii="仿宋_GB2312" w:hAnsi="仿宋_GB2312" w:cs="仿宋_GB2312" w:eastAsia="仿宋_GB2312"/>
                      <w:sz w:val="21"/>
                    </w:rPr>
                    <w:t>2、CPU支持的内存速率≥3200MT/s</w:t>
                  </w:r>
                </w:p>
                <w:p>
                  <w:pPr>
                    <w:pStyle w:val="null3"/>
                    <w:jc w:val="both"/>
                  </w:pPr>
                  <w:r>
                    <w:rPr>
                      <w:rFonts w:ascii="仿宋_GB2312" w:hAnsi="仿宋_GB2312" w:cs="仿宋_GB2312" w:eastAsia="仿宋_GB2312"/>
                      <w:sz w:val="21"/>
                    </w:rPr>
                    <w:t>▲3、内存≥16G</w:t>
                  </w:r>
                  <w:r>
                    <w:rPr>
                      <w:rFonts w:ascii="仿宋_GB2312" w:hAnsi="仿宋_GB2312" w:cs="仿宋_GB2312" w:eastAsia="仿宋_GB2312"/>
                      <w:sz w:val="21"/>
                    </w:rPr>
                    <w:t>，</w:t>
                  </w:r>
                  <w:r>
                    <w:rPr>
                      <w:rFonts w:ascii="仿宋_GB2312" w:hAnsi="仿宋_GB2312" w:cs="仿宋_GB2312" w:eastAsia="仿宋_GB2312"/>
                      <w:sz w:val="21"/>
                    </w:rPr>
                    <w:t>DDR4/LPDDR4及以上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、硬</w:t>
                  </w:r>
                  <w:r>
                    <w:rPr>
                      <w:rFonts w:ascii="仿宋_GB2312" w:hAnsi="仿宋_GB2312" w:cs="仿宋_GB2312" w:eastAsia="仿宋_GB2312"/>
                      <w:sz w:val="21"/>
                    </w:rPr>
                    <w:t>盘</w:t>
                  </w:r>
                  <w:r>
                    <w:rPr>
                      <w:rFonts w:ascii="仿宋_GB2312" w:hAnsi="仿宋_GB2312" w:cs="仿宋_GB2312" w:eastAsia="仿宋_GB2312"/>
                      <w:sz w:val="21"/>
                    </w:rPr>
                    <w:t>≥256GB固态硬盘+1TB机械硬盘</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、集成显卡或国产独立显卡</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、主板集成</w:t>
                  </w:r>
                  <w:r>
                    <w:rPr>
                      <w:rFonts w:ascii="仿宋_GB2312" w:hAnsi="仿宋_GB2312" w:cs="仿宋_GB2312" w:eastAsia="仿宋_GB2312"/>
                      <w:sz w:val="21"/>
                    </w:rPr>
                    <w:t>10/100/1000M自适应以太网卡</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、同品牌抗菌键盘、鼠标</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USB接口数量：≥8个主板原生USB接口（含Type-C），其中原生USB 3.0接口≥6个</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、预装操作系统</w:t>
                  </w:r>
                  <w:r>
                    <w:rPr>
                      <w:rFonts w:ascii="仿宋_GB2312" w:hAnsi="仿宋_GB2312" w:cs="仿宋_GB2312" w:eastAsia="仿宋_GB2312"/>
                      <w:sz w:val="21"/>
                    </w:rPr>
                    <w:t>UOS或KOS</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、机箱</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、显示屏</w:t>
                  </w:r>
                  <w:r>
                    <w:rPr>
                      <w:rFonts w:ascii="仿宋_GB2312" w:hAnsi="仿宋_GB2312" w:cs="仿宋_GB2312" w:eastAsia="仿宋_GB2312"/>
                      <w:sz w:val="21"/>
                    </w:rPr>
                    <w:t>≥23.8英寸，分辨率≥1920*1080，色域≥100%sRGB，刷新率≥100Hz，亮度≥250尼特，对比度≥1000:1</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USB 端口管控，至少支持将USB接口设置为存储设备只读、拒绝两种模式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MTBF≥10</w:t>
                  </w:r>
                  <w:r>
                    <w:rPr>
                      <w:rFonts w:ascii="仿宋_GB2312" w:hAnsi="仿宋_GB2312" w:cs="仿宋_GB2312" w:eastAsia="仿宋_GB2312"/>
                      <w:sz w:val="21"/>
                    </w:rPr>
                    <w:t>0000</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、电源</w:t>
                  </w:r>
                  <w:r>
                    <w:rPr>
                      <w:rFonts w:ascii="仿宋_GB2312" w:hAnsi="仿宋_GB2312" w:cs="仿宋_GB2312" w:eastAsia="仿宋_GB2312"/>
                      <w:sz w:val="21"/>
                    </w:rPr>
                    <w:t>≥180W</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融合云桌面系统</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1、云桌面系统可兼容现阶段主流国产化处理器，包括但不限于海光、兆芯、飞腾、麒麟、盘古等。</w:t>
                  </w:r>
                </w:p>
                <w:p>
                  <w:pPr>
                    <w:pStyle w:val="null3"/>
                    <w:jc w:val="both"/>
                  </w:pPr>
                  <w:r>
                    <w:rPr>
                      <w:rFonts w:ascii="仿宋_GB2312" w:hAnsi="仿宋_GB2312" w:cs="仿宋_GB2312" w:eastAsia="仿宋_GB2312"/>
                      <w:sz w:val="21"/>
                    </w:rPr>
                    <w:t>2、可实现包含但不限于主流国产化操作系统的切换，支持用户自行选择操作系统使用或默认进入某一操作系统。</w:t>
                  </w:r>
                </w:p>
                <w:p>
                  <w:pPr>
                    <w:pStyle w:val="null3"/>
                    <w:jc w:val="both"/>
                  </w:pPr>
                  <w:r>
                    <w:rPr>
                      <w:rFonts w:ascii="仿宋_GB2312" w:hAnsi="仿宋_GB2312" w:cs="仿宋_GB2312" w:eastAsia="仿宋_GB2312"/>
                      <w:sz w:val="21"/>
                    </w:rPr>
                    <w:t>3、可在国产化CPU的PC中运行office、Auto CAD、MySQL、Oracle、Python、3Dmax等软件，不</w:t>
                  </w:r>
                  <w:r>
                    <w:rPr>
                      <w:rFonts w:ascii="仿宋_GB2312" w:hAnsi="仿宋_GB2312" w:cs="仿宋_GB2312" w:eastAsia="仿宋_GB2312"/>
                      <w:sz w:val="21"/>
                    </w:rPr>
                    <w:t>得使用</w:t>
                  </w:r>
                  <w:r>
                    <w:rPr>
                      <w:rFonts w:ascii="仿宋_GB2312" w:hAnsi="仿宋_GB2312" w:cs="仿宋_GB2312" w:eastAsia="仿宋_GB2312"/>
                      <w:sz w:val="21"/>
                    </w:rPr>
                    <w:t>第</w:t>
                  </w:r>
                  <w:r>
                    <w:rPr>
                      <w:rFonts w:ascii="仿宋_GB2312" w:hAnsi="仿宋_GB2312" w:cs="仿宋_GB2312" w:eastAsia="仿宋_GB2312"/>
                      <w:sz w:val="21"/>
                    </w:rPr>
                    <w:t>三方软</w:t>
                  </w:r>
                  <w:r>
                    <w:rPr>
                      <w:rFonts w:ascii="仿宋_GB2312" w:hAnsi="仿宋_GB2312" w:cs="仿宋_GB2312" w:eastAsia="仿宋_GB2312"/>
                      <w:sz w:val="21"/>
                    </w:rPr>
                    <w:t>件介入实现。</w:t>
                  </w:r>
                </w:p>
                <w:p>
                  <w:pPr>
                    <w:pStyle w:val="null3"/>
                    <w:jc w:val="both"/>
                  </w:pPr>
                  <w:r>
                    <w:rPr>
                      <w:rFonts w:ascii="仿宋_GB2312" w:hAnsi="仿宋_GB2312" w:cs="仿宋_GB2312" w:eastAsia="仿宋_GB2312"/>
                      <w:sz w:val="21"/>
                    </w:rPr>
                    <w:t>4、支持操作系统的自动还原，每次开机系统都会重新恢复至模板状态。</w:t>
                  </w:r>
                </w:p>
                <w:p>
                  <w:pPr>
                    <w:pStyle w:val="null3"/>
                    <w:jc w:val="both"/>
                  </w:pPr>
                  <w:r>
                    <w:rPr>
                      <w:rFonts w:ascii="仿宋_GB2312" w:hAnsi="仿宋_GB2312" w:cs="仿宋_GB2312" w:eastAsia="仿宋_GB2312"/>
                      <w:sz w:val="21"/>
                    </w:rPr>
                    <w:t>5、支持系统隐藏功能。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广告弹窗拦截功能，开启后系统自动拦截用户设备桌面弹窗广告。</w:t>
                  </w:r>
                  <w:r>
                    <w:rPr>
                      <w:rFonts w:ascii="仿宋_GB2312" w:hAnsi="仿宋_GB2312" w:cs="仿宋_GB2312" w:eastAsia="仿宋_GB2312"/>
                      <w:sz w:val="21"/>
                    </w:rPr>
                    <w:t>(提供功能截图)</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环境监测功能，针对用户正在使用的桌面系统环境进行巡检，监测内容以列表形式呈现内容包含但不限于电脑名称、系统版本、</w:t>
                  </w:r>
                  <w:r>
                    <w:rPr>
                      <w:rFonts w:ascii="仿宋_GB2312" w:hAnsi="仿宋_GB2312" w:cs="仿宋_GB2312" w:eastAsia="仿宋_GB2312"/>
                      <w:sz w:val="21"/>
                    </w:rPr>
                    <w:t>IP、内存、硬盘等状态。如出现网络连接中断、USB未连接、未知盘符，均会进行告警。</w:t>
                  </w:r>
                </w:p>
                <w:p>
                  <w:pPr>
                    <w:pStyle w:val="null3"/>
                    <w:jc w:val="both"/>
                  </w:pPr>
                  <w:r>
                    <w:rPr>
                      <w:rFonts w:ascii="仿宋_GB2312" w:hAnsi="仿宋_GB2312" w:cs="仿宋_GB2312" w:eastAsia="仿宋_GB2312"/>
                      <w:sz w:val="21"/>
                    </w:rPr>
                    <w:t>▲8、云桌面软件支持流量监控功能，可检测设备机目前进程的流量接收与发送的情况。(提供功能截图)</w:t>
                  </w:r>
                </w:p>
                <w:p>
                  <w:pPr>
                    <w:pStyle w:val="null3"/>
                    <w:jc w:val="both"/>
                  </w:pPr>
                  <w:r>
                    <w:rPr>
                      <w:rFonts w:ascii="仿宋_GB2312" w:hAnsi="仿宋_GB2312" w:cs="仿宋_GB2312" w:eastAsia="仿宋_GB2312"/>
                      <w:sz w:val="21"/>
                    </w:rPr>
                    <w:t>▲9、支持垃圾清理功能，对于垃圾文件扫描后进行自动清理。</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▲10、支持网络检测功能，可针对设备现阶段网络情况进行检测，协助管理员进行网络排障。</w:t>
                  </w:r>
                  <w:r>
                    <w:rPr>
                      <w:rFonts w:ascii="仿宋_GB2312" w:hAnsi="仿宋_GB2312" w:cs="仿宋_GB2312" w:eastAsia="仿宋_GB2312"/>
                      <w:sz w:val="21"/>
                    </w:rPr>
                    <w:t>(</w:t>
                  </w:r>
                  <w:r>
                    <w:rPr>
                      <w:rFonts w:ascii="仿宋_GB2312" w:hAnsi="仿宋_GB2312" w:cs="仿宋_GB2312" w:eastAsia="仿宋_GB2312"/>
                      <w:sz w:val="21"/>
                    </w:rPr>
                    <w:t>提供功能截图</w:t>
                  </w:r>
                  <w:r>
                    <w:rPr>
                      <w:rFonts w:ascii="仿宋_GB2312" w:hAnsi="仿宋_GB2312" w:cs="仿宋_GB2312" w:eastAsia="仿宋_GB2312"/>
                      <w:sz w:val="21"/>
                    </w:rPr>
                    <w:t>)</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无线网卡</w:t>
                  </w:r>
                </w:p>
              </w:tc>
              <w:tc>
                <w:tcPr>
                  <w:tcW w:type="dxa" w:w="2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无线速率</w:t>
                  </w:r>
                  <w:r>
                    <w:rPr>
                      <w:rFonts w:ascii="仿宋_GB2312" w:hAnsi="仿宋_GB2312" w:cs="仿宋_GB2312" w:eastAsia="仿宋_GB2312"/>
                      <w:sz w:val="21"/>
                    </w:rPr>
                    <w:t>≥2</w:t>
                  </w:r>
                  <w:r>
                    <w:rPr>
                      <w:rFonts w:ascii="仿宋_GB2312" w:hAnsi="仿宋_GB2312" w:cs="仿宋_GB2312" w:eastAsia="仿宋_GB2312"/>
                      <w:sz w:val="21"/>
                    </w:rPr>
                    <w:t>86M</w:t>
                  </w:r>
                  <w:r>
                    <w:rPr>
                      <w:rFonts w:ascii="仿宋_GB2312" w:hAnsi="仿宋_GB2312" w:cs="仿宋_GB2312" w:eastAsia="仿宋_GB2312"/>
                      <w:sz w:val="21"/>
                    </w:rPr>
                    <w:t>bps，</w:t>
                  </w:r>
                  <w:r>
                    <w:rPr>
                      <w:rFonts w:ascii="仿宋_GB2312" w:hAnsi="仿宋_GB2312" w:cs="仿宋_GB2312" w:eastAsia="仿宋_GB2312"/>
                      <w:sz w:val="21"/>
                    </w:rPr>
                    <w:t>支持</w:t>
                  </w:r>
                  <w:r>
                    <w:rPr>
                      <w:rFonts w:ascii="仿宋_GB2312" w:hAnsi="仿宋_GB2312" w:cs="仿宋_GB2312" w:eastAsia="仿宋_GB2312"/>
                      <w:sz w:val="21"/>
                    </w:rPr>
                    <w:t>2</w:t>
                  </w:r>
                  <w:r>
                    <w:rPr>
                      <w:rFonts w:ascii="仿宋_GB2312" w:hAnsi="仿宋_GB2312" w:cs="仿宋_GB2312" w:eastAsia="仿宋_GB2312"/>
                      <w:sz w:val="21"/>
                    </w:rPr>
                    <w:t>.4GH</w:t>
                  </w:r>
                  <w:r>
                    <w:rPr>
                      <w:rFonts w:ascii="仿宋_GB2312" w:hAnsi="仿宋_GB2312" w:cs="仿宋_GB2312" w:eastAsia="仿宋_GB2312"/>
                      <w:sz w:val="21"/>
                    </w:rPr>
                    <w:t>z</w:t>
                  </w:r>
                  <w:r>
                    <w:rPr>
                      <w:rFonts w:ascii="仿宋_GB2312" w:hAnsi="仿宋_GB2312" w:cs="仿宋_GB2312" w:eastAsia="仿宋_GB2312"/>
                      <w:sz w:val="21"/>
                    </w:rPr>
                    <w:t>及以上</w:t>
                  </w:r>
                  <w:r>
                    <w:rPr>
                      <w:rFonts w:ascii="仿宋_GB2312" w:hAnsi="仿宋_GB2312" w:cs="仿宋_GB2312" w:eastAsia="仿宋_GB2312"/>
                      <w:sz w:val="21"/>
                    </w:rPr>
                    <w:t>，支持国产操作系统驱动程序</w:t>
                  </w:r>
                </w:p>
              </w:tc>
            </w:tr>
          </w:tbl>
          <w:p>
            <w:pPr>
              <w:pStyle w:val="null3"/>
              <w:jc w:val="both"/>
            </w:pPr>
            <w:r>
              <w:rPr>
                <w:rFonts w:ascii="仿宋_GB2312" w:hAnsi="仿宋_GB2312" w:cs="仿宋_GB2312" w:eastAsia="仿宋_GB2312"/>
                <w:sz w:val="21"/>
              </w:rPr>
              <w:t>备注：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代表实质性指标，不允许负偏离，不满足该指标将导致投标被拒绝。</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及一般参数正偏离需提供相关证明材料</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商务要求</w:t>
            </w:r>
          </w:p>
          <w:p>
            <w:pPr>
              <w:pStyle w:val="null3"/>
              <w:ind w:firstLine="480"/>
              <w:jc w:val="both"/>
            </w:pPr>
            <w:r>
              <w:rPr>
                <w:rFonts w:ascii="仿宋_GB2312" w:hAnsi="仿宋_GB2312" w:cs="仿宋_GB2312" w:eastAsia="仿宋_GB2312"/>
                <w:sz w:val="28"/>
              </w:rPr>
              <w:t>1、交货期</w:t>
            </w:r>
            <w:r>
              <w:rPr>
                <w:rFonts w:ascii="仿宋_GB2312" w:hAnsi="仿宋_GB2312" w:cs="仿宋_GB2312" w:eastAsia="仿宋_GB2312"/>
                <w:sz w:val="28"/>
              </w:rPr>
              <w:t>：自合同签订之日起</w:t>
            </w:r>
            <w:r>
              <w:rPr>
                <w:rFonts w:ascii="仿宋_GB2312" w:hAnsi="仿宋_GB2312" w:cs="仿宋_GB2312" w:eastAsia="仿宋_GB2312"/>
                <w:sz w:val="28"/>
              </w:rPr>
              <w:t>20日</w:t>
            </w:r>
            <w:r>
              <w:rPr>
                <w:rFonts w:ascii="仿宋_GB2312" w:hAnsi="仿宋_GB2312" w:cs="仿宋_GB2312" w:eastAsia="仿宋_GB2312"/>
                <w:sz w:val="28"/>
              </w:rPr>
              <w:t>。</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服务质量：合格</w:t>
            </w:r>
          </w:p>
          <w:p>
            <w:pPr>
              <w:pStyle w:val="null3"/>
              <w:ind w:firstLine="480"/>
              <w:jc w:val="both"/>
            </w:pPr>
            <w:r>
              <w:rPr>
                <w:rFonts w:ascii="仿宋_GB2312" w:hAnsi="仿宋_GB2312" w:cs="仿宋_GB2312" w:eastAsia="仿宋_GB2312"/>
                <w:sz w:val="28"/>
              </w:rPr>
              <w:t>3、</w:t>
            </w:r>
            <w:r>
              <w:rPr>
                <w:rFonts w:ascii="仿宋_GB2312" w:hAnsi="仿宋_GB2312" w:cs="仿宋_GB2312" w:eastAsia="仿宋_GB2312"/>
                <w:sz w:val="28"/>
              </w:rPr>
              <w:t>付款方式：合同签订后，达到付款条件起</w:t>
            </w:r>
            <w:r>
              <w:rPr>
                <w:rFonts w:ascii="仿宋_GB2312" w:hAnsi="仿宋_GB2312" w:cs="仿宋_GB2312" w:eastAsia="仿宋_GB2312"/>
                <w:sz w:val="28"/>
              </w:rPr>
              <w:t>30日内，支付合同总金额的40.00%</w:t>
            </w:r>
            <w:r>
              <w:rPr>
                <w:rFonts w:ascii="仿宋_GB2312" w:hAnsi="仿宋_GB2312" w:cs="仿宋_GB2312" w:eastAsia="仿宋_GB2312"/>
                <w:sz w:val="28"/>
              </w:rPr>
              <w:t>；完成项目供货、安装调试完毕，达到付款条件起</w:t>
            </w:r>
            <w:r>
              <w:rPr>
                <w:rFonts w:ascii="仿宋_GB2312" w:hAnsi="仿宋_GB2312" w:cs="仿宋_GB2312" w:eastAsia="仿宋_GB2312"/>
                <w:sz w:val="28"/>
              </w:rPr>
              <w:t>30日内，支付合同总金额的50.00%；验收合格后，达到付款条件起30日内，支付合同总金额的10.00%。</w:t>
            </w:r>
          </w:p>
          <w:p>
            <w:pPr>
              <w:pStyle w:val="null3"/>
              <w:ind w:firstLine="480"/>
              <w:jc w:val="both"/>
            </w:pPr>
            <w:r>
              <w:rPr>
                <w:rFonts w:ascii="仿宋_GB2312" w:hAnsi="仿宋_GB2312" w:cs="仿宋_GB2312" w:eastAsia="仿宋_GB2312"/>
                <w:sz w:val="28"/>
              </w:rPr>
              <w:t>4、</w:t>
            </w:r>
            <w:r>
              <w:rPr>
                <w:rFonts w:ascii="仿宋_GB2312" w:hAnsi="仿宋_GB2312" w:cs="仿宋_GB2312" w:eastAsia="仿宋_GB2312"/>
                <w:sz w:val="28"/>
              </w:rPr>
              <w:t>服务范围：完成本次采购项目所有内容。</w:t>
            </w:r>
          </w:p>
          <w:p>
            <w:pPr>
              <w:pStyle w:val="null3"/>
              <w:ind w:firstLine="480"/>
              <w:jc w:val="both"/>
            </w:pPr>
            <w:r>
              <w:rPr>
                <w:rFonts w:ascii="仿宋_GB2312" w:hAnsi="仿宋_GB2312" w:cs="仿宋_GB2312" w:eastAsia="仿宋_GB2312"/>
                <w:sz w:val="28"/>
              </w:rPr>
              <w:t>5、</w:t>
            </w:r>
            <w:r>
              <w:rPr>
                <w:rFonts w:ascii="仿宋_GB2312" w:hAnsi="仿宋_GB2312" w:cs="仿宋_GB2312" w:eastAsia="仿宋_GB2312"/>
                <w:sz w:val="28"/>
              </w:rPr>
              <w:t>服务要求：满足本次采购项目所有内容。</w:t>
            </w:r>
          </w:p>
          <w:p>
            <w:pPr>
              <w:pStyle w:val="null3"/>
              <w:ind w:firstLine="480"/>
              <w:jc w:val="both"/>
            </w:pPr>
            <w:r>
              <w:rPr>
                <w:rFonts w:ascii="仿宋_GB2312" w:hAnsi="仿宋_GB2312" w:cs="仿宋_GB2312" w:eastAsia="仿宋_GB2312"/>
                <w:sz w:val="28"/>
              </w:rPr>
              <w:t>6、整机3年原厂质保上门服务。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整机3年原厂质保上门服务。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合同执行过程中如发生争议，双方应及时协商解决，协商不成，双方提交甲方所在地的人民法院管辖。</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有效的资格证明主体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报价表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供应商类似项目业绩一览表.docx 中小企业声明函 商务应答表 供应商应提交的相关资格证明材料 响应文件封面 产品技术参数表 供应商认为有必要补充说明的事项.docx 残疾人福利性单位声明函 标的清单 供应商资格证明文件.docx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投标产品中每有一项为节能产品的得0.5分，每有一项为环境标志产品的得0.5分，供应商所投产品中每有一项产品同时为节能产品和环境标志产品的得1分，不重复计分，最高得2分。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评审内容：①售后服务机构承诺；②售后服务保障措施；③人员配置安排计划；④故障处理响应时间安排计划；⑤服务保证期限；⑥服务保证的范围承诺。 评审依据：每一项内容描述详细，切实可行符合项目实际内容得2.0分，①～⑥项合计得12分。内容①～⑥项任意一项缺项扣2.0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评审内容：①培训计划；②培训对象；③培训内容；④培训方式；⑤培训目标。 评审依据：每一项内容描述详细，切实可行符合项目实际内容得2.0分，①～⑤项合计得10分。内容①～⑤项任意一项缺项扣2.0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磋商响应产品选型符合使用需求，产品配置完整合理，其型号、技术参数清晰明确，根据投标产品的技术指标和性能对磋商文件的响应程度计分。产品整体功能或技术参数完全满足磋商文件要求计10分，部分项负偏离按以下说明扣分。 1.其响应技术指标和性能出现主要技术参数负偏离的（▲号条款），每项扣除2分，扣完为止。 注：主要技术参数（▲号条款）偏离情况除偏离表响应外还须提供相应的证明材料，否则不计分。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评审内容：①整体规划；②备货；③进度计划；④供货组织；⑤人员配置；⑥分工明细；⑦配送保障。 评审依据：每一项内容描述详细，切实可行符合项目实际内容得2.0分，①～⑦项合计得14分。内容①～⑦项任意一项缺项扣2.0分，扣完为止；内容①～⑦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评审内容：包含但不限于①安装；②调试组织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评审内容：①质量保证措施；②质量保证承诺。 评审依据：每一项内容描述详细，切实可行符合项目实际内容得2.0分，①～②项合计得4分。内容①～②项任意一项缺项扣2.0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采用低价优先法计算，即满足磋商文件要求且投标价格最低的投标报价为评标基准价，其价格分为满分。 投标报价得分＝（评标基准价/投标报价）×30% ×100备注：当磋商小组认为某个供应商的报价明显低于其他通过符合性审查供应商的报价，有可能影响产品质量和不能诚信履约的，应要求该供应商在评标现场合理的时间内提供书面说明，必要时提交相关证明材料；供应商不能证明其报价合理的，磋商小组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