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版本号：SDZC2025-06420250617001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高校毕业生就业服务专项行动项目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SDZC2025-064</w:t>
      </w:r>
      <w:r>
        <w:br/>
      </w:r>
      <w:r>
        <w:br/>
      </w:r>
      <w:r>
        <w:br/>
      </w:r>
    </w:p>
    <w:p>
      <w:pPr>
        <w:pStyle w:val="null3"/>
        <w:jc w:val="center"/>
        <w:outlineLvl w:val="2"/>
      </w:pPr>
      <w:r>
        <w:rPr>
          <w:rFonts w:ascii="仿宋_GB2312" w:hAnsi="仿宋_GB2312" w:cs="仿宋_GB2312" w:eastAsia="仿宋_GB2312"/>
          <w:sz w:val="28"/>
          <w:b/>
        </w:rPr>
        <w:t>西安市新城区人力资源和社会保障局</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西安市新城区人力资源和社会保障局</w:t>
      </w:r>
      <w:r>
        <w:rPr>
          <w:rFonts w:ascii="仿宋_GB2312" w:hAnsi="仿宋_GB2312" w:cs="仿宋_GB2312" w:eastAsia="仿宋_GB2312"/>
        </w:rPr>
        <w:t>委托，拟对</w:t>
      </w:r>
      <w:r>
        <w:rPr>
          <w:rFonts w:ascii="仿宋_GB2312" w:hAnsi="仿宋_GB2312" w:cs="仿宋_GB2312" w:eastAsia="仿宋_GB2312"/>
        </w:rPr>
        <w:t>高校毕业生就业服务专项行动项目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SDZC2025-064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高校毕业生就业服务专项行动项目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高校毕业生就业服务专项行动项目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采购包1（高校毕业生就业服务专项行动项目）：属于专门面向中小企业采购。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1、提供供应商合法注册的法人或其他组织的营业执照等证明文件、自然人的身份证明：提供供应商合法注册的法人或其他组织的营业执照等证明文件、自然人的身份证明</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竞争性磋商响应文件格式)。</w:t>
      </w:r>
    </w:p>
    <w:p>
      <w:pPr>
        <w:pStyle w:val="null3"/>
      </w:pPr>
      <w:r>
        <w:rPr>
          <w:rFonts w:ascii="仿宋_GB2312" w:hAnsi="仿宋_GB2312" w:cs="仿宋_GB2312" w:eastAsia="仿宋_GB2312"/>
        </w:rPr>
        <w:t>8、信用截图：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磋商响应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单位负责人为同一人或者存在直接控股、管理关系的不同供应商，不得参加同一合同项下的政府采购活动：单位负责人为同一人或者存在直接控股、管理关系的不同供应商，不得参加同一合同项下的政府采购活动。(根据财库【2019】38号文规定，此项由采购人在磋商响应截止日当天在“国家企业信用信息公示系统”网站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西安市新城区人力资源和社会保障局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西安市尚德路115号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张嘉瑜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029-87424213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宋芳芳（4号工位）、王涛、魏蕾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029-86673953、86518381转804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代理服务费收费标准：服务费：按成交金额的1.5%收取。 1.开户行名称：陕西上德招标有限公司 2.开 户 行：西安银行股份有限公司文景路支行 3.账 号：7070 1151 0000 0135 22 4.西安银行文景路行号：313791000509 财务部联系方式： 029-86673953、029-86518381、029-89299829、029-89293231 转814 备注：投标人在汇款时须注明项目编号+项目简称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西安市新城区人力资源和社会保障局</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西安市新城区人力资源和社会保障局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西安市新城区人力资源和社会保障局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联系人：宋芳芳(4号工位)</w:t>
      </w:r>
    </w:p>
    <w:p>
      <w:pPr>
        <w:pStyle w:val="null3"/>
      </w:pPr>
      <w:r>
        <w:rPr>
          <w:rFonts w:ascii="仿宋_GB2312" w:hAnsi="仿宋_GB2312" w:cs="仿宋_GB2312" w:eastAsia="仿宋_GB2312"/>
        </w:rPr>
        <w:t>联系电话：029-86673953、86518381转804</w:t>
      </w:r>
    </w:p>
    <w:p>
      <w:pPr>
        <w:pStyle w:val="null3"/>
      </w:pPr>
      <w:r>
        <w:rPr>
          <w:rFonts w:ascii="仿宋_GB2312" w:hAnsi="仿宋_GB2312" w:cs="仿宋_GB2312" w:eastAsia="仿宋_GB2312"/>
        </w:rPr>
        <w:t>地址：陕西上德招标有限公司（西安市经开区凤城八路正尚国际金融广场A座7层703（张家堡转盘东南角））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高校毕业生就业服务专项行动项目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高校毕业生就业服务专项行动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家</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标的名称：高校毕业生就业服务专项行动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项目介绍：为高校毕业生提供精准化、专业化、个性化的就业服务，提升毕业生就业能力，促进毕业生顺利就业。搭建高校毕业生与用人单位之间的桥梁，促进供需双方精准有效对接。促进高校毕业生更加充分更高质量就业，特开展本项目。</w:t>
            </w:r>
          </w:p>
          <w:p>
            <w:pPr>
              <w:pStyle w:val="null3"/>
            </w:pPr>
            <w:r>
              <w:rPr>
                <w:rFonts w:ascii="仿宋_GB2312" w:hAnsi="仿宋_GB2312" w:cs="仿宋_GB2312" w:eastAsia="仿宋_GB2312"/>
              </w:rPr>
              <w:t>本项目包括以下三部分：1、高校就业创业服务驿站日常运营及“就业指导训练营”系列主题活动的开展；2、高校毕业生就业招聘活动；3、多渠道搭建媒体宣传平台。</w:t>
            </w:r>
          </w:p>
          <w:p>
            <w:pPr>
              <w:pStyle w:val="null3"/>
            </w:pPr>
            <w:r>
              <w:rPr>
                <w:rFonts w:ascii="仿宋_GB2312" w:hAnsi="仿宋_GB2312" w:cs="仿宋_GB2312" w:eastAsia="仿宋_GB2312"/>
              </w:rPr>
              <w:t>主要目标：通过高校毕业生就业帮扶系列活动和相关招聘活动，实现我区高校毕业生的高质量就业，切实提升我区高校毕业生的就业帮扶率，打造毕业生就业帮扶的新城品牌；有效提升政策宣传效能。</w:t>
            </w:r>
          </w:p>
          <w:p>
            <w:pPr>
              <w:pStyle w:val="null3"/>
            </w:pPr>
            <w:r>
              <w:rPr>
                <w:rFonts w:ascii="仿宋_GB2312" w:hAnsi="仿宋_GB2312" w:cs="仿宋_GB2312" w:eastAsia="仿宋_GB2312"/>
              </w:rPr>
              <w:t>服务内容：</w:t>
            </w:r>
          </w:p>
          <w:p>
            <w:pPr>
              <w:pStyle w:val="null3"/>
            </w:pPr>
            <w:r>
              <w:rPr>
                <w:rFonts w:ascii="仿宋_GB2312" w:hAnsi="仿宋_GB2312" w:cs="仿宋_GB2312" w:eastAsia="仿宋_GB2312"/>
              </w:rPr>
              <w:t>（一）高校就业创业服务驿站日常运营及“就业指导训练营”系列主题活动的开展</w:t>
            </w:r>
          </w:p>
          <w:p>
            <w:pPr>
              <w:pStyle w:val="null3"/>
            </w:pPr>
            <w:r>
              <w:rPr>
                <w:rFonts w:ascii="仿宋_GB2312" w:hAnsi="仿宋_GB2312" w:cs="仿宋_GB2312" w:eastAsia="仿宋_GB2312"/>
              </w:rPr>
              <w:t>1、设置专门工作人员做好驿站的常态化服务，积极对接服务需求，开展精准岗位推送及职业指导，并定期反馈包括岗位推荐等工作的服务效果。</w:t>
            </w:r>
          </w:p>
          <w:p>
            <w:pPr>
              <w:pStyle w:val="null3"/>
            </w:pPr>
            <w:r>
              <w:rPr>
                <w:rFonts w:ascii="仿宋_GB2312" w:hAnsi="仿宋_GB2312" w:cs="仿宋_GB2312" w:eastAsia="仿宋_GB2312"/>
              </w:rPr>
              <w:t>2、每月举办至少一次的特色就业服务活动，助力毕业生走稳求职路。</w:t>
            </w:r>
          </w:p>
          <w:p>
            <w:pPr>
              <w:pStyle w:val="null3"/>
            </w:pPr>
            <w:r>
              <w:rPr>
                <w:rFonts w:ascii="仿宋_GB2312" w:hAnsi="仿宋_GB2312" w:cs="仿宋_GB2312" w:eastAsia="仿宋_GB2312"/>
              </w:rPr>
              <w:t>（二）高校毕业生就业招聘活动</w:t>
            </w:r>
          </w:p>
          <w:p>
            <w:pPr>
              <w:pStyle w:val="null3"/>
            </w:pPr>
            <w:r>
              <w:rPr>
                <w:rFonts w:ascii="仿宋_GB2312" w:hAnsi="仿宋_GB2312" w:cs="仿宋_GB2312" w:eastAsia="仿宋_GB2312"/>
              </w:rPr>
              <w:t>全力抓好高校毕业生就业服务，举办就业公共服务进校园、千企高校行、金秋招聘月等现场招聘会、网络招聘会等活动，同时，积极开展万名学子看西安活动，扎实推进政校企三方联动，为企业及高校毕业生搭建沟通平台，促进供需双方精准有效对接，并及时反馈招聘活动效果。</w:t>
            </w:r>
          </w:p>
          <w:p>
            <w:pPr>
              <w:pStyle w:val="null3"/>
            </w:pPr>
            <w:r>
              <w:rPr>
                <w:rFonts w:ascii="仿宋_GB2312" w:hAnsi="仿宋_GB2312" w:cs="仿宋_GB2312" w:eastAsia="仿宋_GB2312"/>
              </w:rPr>
              <w:t xml:space="preserve">    （三）多渠道搭建媒体宣传平台，有效提升就业创业等高校毕业生相关政策触达率。</w:t>
            </w:r>
          </w:p>
          <w:p>
            <w:pPr>
              <w:pStyle w:val="null3"/>
            </w:pPr>
            <w:r>
              <w:rPr>
                <w:rFonts w:ascii="仿宋_GB2312" w:hAnsi="仿宋_GB2312" w:cs="仿宋_GB2312" w:eastAsia="仿宋_GB2312"/>
              </w:rPr>
              <w:t>服务要求：</w:t>
            </w:r>
          </w:p>
          <w:p>
            <w:pPr>
              <w:pStyle w:val="null3"/>
            </w:pPr>
            <w:r>
              <w:rPr>
                <w:rFonts w:ascii="仿宋_GB2312" w:hAnsi="仿宋_GB2312" w:cs="仿宋_GB2312" w:eastAsia="仿宋_GB2312"/>
              </w:rPr>
              <w:t>1.做好高校就业服务驿站的日常值班工作，确保驿站保持常态化运行，并做好服务台账及效果反馈。</w:t>
            </w:r>
          </w:p>
          <w:p>
            <w:pPr>
              <w:pStyle w:val="null3"/>
            </w:pPr>
            <w:r>
              <w:rPr>
                <w:rFonts w:ascii="仿宋_GB2312" w:hAnsi="仿宋_GB2312" w:cs="仿宋_GB2312" w:eastAsia="仿宋_GB2312"/>
              </w:rPr>
              <w:t>2.每季度至少组织2场大型主题活动，全年组织各类进校园公共就业服务活动不少于15场，定期统计服务数据，包括签约率、参与人数、岗位数等实质性效果，确保供需匹配效率及就业质量提升，服务对象满意度高。</w:t>
            </w:r>
          </w:p>
          <w:p>
            <w:pPr>
              <w:pStyle w:val="null3"/>
            </w:pPr>
            <w:r>
              <w:rPr>
                <w:rFonts w:ascii="仿宋_GB2312" w:hAnsi="仿宋_GB2312" w:cs="仿宋_GB2312" w:eastAsia="仿宋_GB2312"/>
              </w:rPr>
              <w:t>3、确保政策宣传效能最大化，有效提升政策知晓率。</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根据项目情况进行配置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根据项目情况进行配置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自合同签订之日起至项目执行结束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西安市各举办地点。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达到采购人要求及符合竞争性磋商文件，由采购人签发验收合格单。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甲乙双方合同签订后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合同执行完毕且经甲方验收合格后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2.未按合同要求提供服务或服务质量不能满足技术要求，采购人有权终止合同，并对供方违约行为进行追究，同时按《中华人民共和国政府采购法》的有关规定进行处罚。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成交人在领取成交通知书时提供一正两副纸质版响应文件。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供应商需在项目电子化交易系统中按要求上传相应证明文件并进行电子签章，此项审查内容与“控股关系查询”为同一审查内容。</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提供供应商合法注册的法人或其他组织的营业执照等证明文件、自然人的身份证明</w:t>
            </w:r>
          </w:p>
        </w:tc>
        <w:tc>
          <w:tcPr>
            <w:tcW w:type="dxa" w:w="3322"/>
          </w:tcPr>
          <w:p>
            <w:pPr>
              <w:pStyle w:val="null3"/>
            </w:pPr>
            <w:r>
              <w:rPr>
                <w:rFonts w:ascii="仿宋_GB2312" w:hAnsi="仿宋_GB2312" w:cs="仿宋_GB2312" w:eastAsia="仿宋_GB2312"/>
              </w:rPr>
              <w:t>提供供应商合法注册的法人或其他组织的营业执照等证明文件、自然人的身份证明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竞争性磋商响应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磋商响应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由采购人在磋商响应截止日当天在“国家企业信用信息公示系统”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《拒绝政府采购领域商业贿赂承诺书》.docx 供应商参与政府采购活动的承诺函.docx 标的清单 报价表 响应函 供应商认为有必要补充说明的事宜.docx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磋商响应文件全部按照磋商文件的要求盖章签字</w:t>
            </w:r>
          </w:p>
        </w:tc>
        <w:tc>
          <w:tcPr>
            <w:tcW w:type="dxa" w:w="1661"/>
          </w:tcPr>
          <w:p>
            <w:pPr>
              <w:pStyle w:val="null3"/>
            </w:pPr>
            <w:r>
              <w:rPr>
                <w:rFonts w:ascii="仿宋_GB2312" w:hAnsi="仿宋_GB2312" w:cs="仿宋_GB2312" w:eastAsia="仿宋_GB2312"/>
              </w:rPr>
              <w:t>响应文件封面 《拒绝政府采购领域商业贿赂承诺书》.docx 中小企业声明函 残疾人福利性单位声明函 供应商参与政府采购活动的承诺函.docx 标的清单 承诺书.docx 分项报价.docx 响应函 响应偏离表.docx 监狱企业的证明文件 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磋商报价未超过采购预算</w:t>
            </w:r>
          </w:p>
        </w:tc>
        <w:tc>
          <w:tcPr>
            <w:tcW w:type="dxa" w:w="1661"/>
          </w:tcPr>
          <w:p>
            <w:pPr>
              <w:pStyle w:val="null3"/>
            </w:pPr>
            <w:r>
              <w:rPr>
                <w:rFonts w:ascii="仿宋_GB2312" w:hAnsi="仿宋_GB2312" w:cs="仿宋_GB2312" w:eastAsia="仿宋_GB2312"/>
              </w:rPr>
              <w:t>标的清单 分项报价.docx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磋商有效期符合磋商文件的要求</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对磋商文件技术、商务要求是否做出明确响应，对不得偏离的要求是否做了实质性响应</w:t>
            </w:r>
          </w:p>
        </w:tc>
        <w:tc>
          <w:tcPr>
            <w:tcW w:type="dxa" w:w="3322"/>
          </w:tcPr>
          <w:p>
            <w:pPr>
              <w:pStyle w:val="null3"/>
            </w:pPr>
            <w:r>
              <w:rPr>
                <w:rFonts w:ascii="仿宋_GB2312" w:hAnsi="仿宋_GB2312" w:cs="仿宋_GB2312" w:eastAsia="仿宋_GB2312"/>
              </w:rPr>
              <w:t>对磋商文件技术、商务要求是否做出明确响应，对不得偏离的要求是否做了实质性响应</w:t>
            </w:r>
          </w:p>
        </w:tc>
        <w:tc>
          <w:tcPr>
            <w:tcW w:type="dxa" w:w="1661"/>
          </w:tcPr>
          <w:p>
            <w:pPr>
              <w:pStyle w:val="null3"/>
            </w:pPr>
            <w:r>
              <w:rPr>
                <w:rFonts w:ascii="仿宋_GB2312" w:hAnsi="仿宋_GB2312" w:cs="仿宋_GB2312" w:eastAsia="仿宋_GB2312"/>
              </w:rPr>
              <w:t>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法律、法规和磋商文件规定的其他无效响应情形</w:t>
            </w:r>
          </w:p>
        </w:tc>
        <w:tc>
          <w:tcPr>
            <w:tcW w:type="dxa" w:w="3322"/>
          </w:tcPr>
          <w:p>
            <w:pPr>
              <w:pStyle w:val="null3"/>
            </w:pPr>
            <w:r>
              <w:rPr>
                <w:rFonts w:ascii="仿宋_GB2312" w:hAnsi="仿宋_GB2312" w:cs="仿宋_GB2312" w:eastAsia="仿宋_GB2312"/>
              </w:rPr>
              <w:t>法律、法规和磋商文件规定的其他无效响应情形</w:t>
            </w:r>
          </w:p>
        </w:tc>
        <w:tc>
          <w:tcPr>
            <w:tcW w:type="dxa" w:w="1661"/>
          </w:tcPr>
          <w:p>
            <w:pPr>
              <w:pStyle w:val="null3"/>
            </w:pPr>
            <w:r>
              <w:rPr>
                <w:rFonts w:ascii="仿宋_GB2312" w:hAnsi="仿宋_GB2312" w:cs="仿宋_GB2312" w:eastAsia="仿宋_GB2312"/>
              </w:rPr>
              <w:t>《拒绝政府采购领域商业贿赂承诺书》.docx 供应商参与政府采购活动的承诺函.docx 响应函 供应商认为有必要补充说明的事宜.docx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磋商响应文件含有采购人不能接受的附加条件</w:t>
            </w:r>
          </w:p>
        </w:tc>
        <w:tc>
          <w:tcPr>
            <w:tcW w:type="dxa" w:w="3322"/>
          </w:tcPr>
          <w:p>
            <w:pPr>
              <w:pStyle w:val="null3"/>
            </w:pPr>
            <w:r>
              <w:rPr>
                <w:rFonts w:ascii="仿宋_GB2312" w:hAnsi="仿宋_GB2312" w:cs="仿宋_GB2312" w:eastAsia="仿宋_GB2312"/>
              </w:rPr>
              <w:t>磋商响应文件含有采购人不能接受的附加条件</w:t>
            </w:r>
          </w:p>
        </w:tc>
        <w:tc>
          <w:tcPr>
            <w:tcW w:type="dxa" w:w="1661"/>
          </w:tcPr>
          <w:p>
            <w:pPr>
              <w:pStyle w:val="null3"/>
            </w:pPr>
            <w:r>
              <w:rPr>
                <w:rFonts w:ascii="仿宋_GB2312" w:hAnsi="仿宋_GB2312" w:cs="仿宋_GB2312" w:eastAsia="仿宋_GB2312"/>
              </w:rPr>
              <w:t>响应文件封面 《拒绝政府采购领域商业贿赂承诺书》.docx 供应商参与政府采购活动的承诺函.docx 响应函 响应偏离表.docx 供应商认为有必要补充说明的事宜.docx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工作内容理解</w:t>
            </w:r>
          </w:p>
        </w:tc>
        <w:tc>
          <w:tcPr>
            <w:tcW w:type="dxa" w:w="2492"/>
          </w:tcPr>
          <w:p>
            <w:pPr>
              <w:pStyle w:val="null3"/>
            </w:pPr>
            <w:r>
              <w:rPr>
                <w:rFonts w:ascii="仿宋_GB2312" w:hAnsi="仿宋_GB2312" w:cs="仿宋_GB2312" w:eastAsia="仿宋_GB2312"/>
              </w:rPr>
              <w:t>包括但不限于对本项目工作目标、达到效果、对实施内容的理解，明确活动主题、渠道策略等。 ①目的、目标明确且内容详细完整，全面的计10分； ②内容包含全面，但未针对各项内容进行详细描述的计8分； ③对工作目的不明确的或活动的主题不清晰的计6分； ④项目实施内容逻辑混乱、理解不到位的计4分； ⑤内容有一项或以上缺项的计2分； ⑥未提供相关内容的不计分。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工作内容理解.docx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包括但不限于：活动策划方案、各场活动时间节点安排、活动布展搭建、现场服务方案等。 ①项目服务方案满足采购需求，每项具有详细描述且全面的计12分； ②内容包含全面，但仅针对个别内容进行详细描述的计8分； ③内容仅有框架的、逻辑混乱的或节点安排不合理的计6分； ④活动策划方案内容宽泛的或布展搭建简易的或内容有一项缺项的计4分； ⑤内容有2项或以上缺项的计2分； ⑥未提供相关内容的不计分。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媒体宣传方案</w:t>
            </w:r>
          </w:p>
        </w:tc>
        <w:tc>
          <w:tcPr>
            <w:tcW w:type="dxa" w:w="2492"/>
          </w:tcPr>
          <w:p>
            <w:pPr>
              <w:pStyle w:val="null3"/>
            </w:pPr>
            <w:r>
              <w:rPr>
                <w:rFonts w:ascii="仿宋_GB2312" w:hAnsi="仿宋_GB2312" w:cs="仿宋_GB2312" w:eastAsia="仿宋_GB2312"/>
              </w:rPr>
              <w:t>包含但不限于：核心目标、媒体方式、实施办法、达到的效果等； ①方案新颖、切实可行，特色且创新，完全满足采购需求的计10分； ②方案内容传统的计8分，③方案内容宽泛无创新的计6分； ④方案内容简单，无具体措施内容的计4分； ⑤方案内容有一项或以上缺项的计2分； ⑥未提供相关内容的不计分。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媒体宣传方案.docx</w:t>
            </w:r>
          </w:p>
        </w:tc>
      </w:tr>
      <w:tr>
        <w:tc>
          <w:tcPr>
            <w:tcW w:type="dxa" w:w="831"/>
            <w:vMerge/>
          </w:tcPr>
          <w:p/>
        </w:tc>
        <w:tc>
          <w:tcPr>
            <w:tcW w:type="dxa" w:w="1661"/>
          </w:tcPr>
          <w:p>
            <w:pPr>
              <w:pStyle w:val="null3"/>
            </w:pPr>
            <w:r>
              <w:rPr>
                <w:rFonts w:ascii="仿宋_GB2312" w:hAnsi="仿宋_GB2312" w:cs="仿宋_GB2312" w:eastAsia="仿宋_GB2312"/>
              </w:rPr>
              <w:t>服务团队及配套设施</w:t>
            </w:r>
          </w:p>
        </w:tc>
        <w:tc>
          <w:tcPr>
            <w:tcW w:type="dxa" w:w="2492"/>
          </w:tcPr>
          <w:p>
            <w:pPr>
              <w:pStyle w:val="null3"/>
            </w:pPr>
            <w:r>
              <w:rPr>
                <w:rFonts w:ascii="仿宋_GB2312" w:hAnsi="仿宋_GB2312" w:cs="仿宋_GB2312" w:eastAsia="仿宋_GB2312"/>
              </w:rPr>
              <w:t>包含但不限于：专业的策划、宣传服务和执行团队；拟派项目负责人工作经验丰富，拟派项目团队人员数量、专业安排合理、工作经验丰富、岗位职责详细，服务团队的管理机制、管理制度、配套设施； ①团队人员数量、专业安排合理，职责明确清晰、配套设施齐全的计12分； ②人员团队安排合理但岗位职责不明确的计10分； ③管理机制不合理或管理制度条例混乱的或配套设施简陋的计8分； ④人员工作经验不丰富或专业安排不合理的计6分； ⑤内容有一项缺项的计4分； ⑥人员数量及专业安排不具备完成本项目能力或内容有2项或以上缺项的计2分； ⑦未提供相关内容的不计分。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服务团队及配套设施.docx</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包括但不限于：活动组织保障、服务团队保障、活动安全保障、信息安全保障、后勤服务保障等，服务质量保障方案及措施； ①方案内容详细、全面，无缺项漏项的计12分； ②方案内容包含全面，但未针对各项内容进行详细描述的计10分； ③方案内容无针对性或条理不清晰的计8分； ④方案内容有一项缺项的计6分； ⑤方案内容有2项缺项的计4分； ⑥方案内容有3项或以上缺项的计2分； ⑦未提供相关内容的不计分。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服务保障措施.docx</w:t>
            </w:r>
          </w:p>
        </w:tc>
      </w:tr>
      <w:tr>
        <w:tc>
          <w:tcPr>
            <w:tcW w:type="dxa" w:w="831"/>
            <w:vMerge/>
          </w:tcPr>
          <w:p/>
        </w:tc>
        <w:tc>
          <w:tcPr>
            <w:tcW w:type="dxa" w:w="1661"/>
          </w:tcPr>
          <w:p>
            <w:pPr>
              <w:pStyle w:val="null3"/>
            </w:pPr>
            <w:r>
              <w:rPr>
                <w:rFonts w:ascii="仿宋_GB2312" w:hAnsi="仿宋_GB2312" w:cs="仿宋_GB2312" w:eastAsia="仿宋_GB2312"/>
              </w:rPr>
              <w:t>应急方案及措施</w:t>
            </w:r>
          </w:p>
        </w:tc>
        <w:tc>
          <w:tcPr>
            <w:tcW w:type="dxa" w:w="2492"/>
          </w:tcPr>
          <w:p>
            <w:pPr>
              <w:pStyle w:val="null3"/>
            </w:pPr>
            <w:r>
              <w:rPr>
                <w:rFonts w:ascii="仿宋_GB2312" w:hAnsi="仿宋_GB2312" w:cs="仿宋_GB2312" w:eastAsia="仿宋_GB2312"/>
              </w:rPr>
              <w:t>包含但不限于：应急体系架构、可能发生突发事件的应急预案、处理流程、处理措施。 ①方案及措施内容描述详细完整，切合实际情况的计8分； ②方案内容宽泛或处理措施无实质性内容的计6分； ③方案内容及措施内容简单的计4分； ④有一项或以上缺项的计2分； ⑤未提供相关内容的不计分。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应急方案及措施.docx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包含但不限于：保密制度、保密措施、保密承诺等。 ①保密方案完整、措施合理的6分； ②保密方案仅有框架，无具体措施的计3分； ③内容有一项或以上缺项的计1分； ④未提供相关内容的不计分。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保密措施.docx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供应商针对本项目有良好、积极的工作态度，能够在活动现场及时配合采购人的工作，能为采购人提供相关后续咨询服务、提供定期回访服务等。 ①服务承诺内容详细，满足采购人需求的计6分； ②服务承诺内容宽泛的计3分； ③内容有一项或以上缺项的或后续不能提供相关服务的计1分； ④未提供相关内容的不计分。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供应商针对本项目提出的其他合理化建议及意见，有益于本项目在实施过程、服务质量等方面进行改进； ①内容详细、有针对性的计4分； ②建议不具有针对性，无实质性内容的计2分； ③内容有一项或以上缺项的计1分； ④未提供相关内容的不计分。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以合同或中标通知书的形式提供供应商2021年1月至今招聘类项目业绩，每提供一个业绩证明材料计2分，满分10分。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分项报价.docx</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详见附件：保密措施.docx</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详见附件：服务保障措施.docx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详见附件：工作内容理解.docx</w:t>
      </w:r>
    </w:p>
    <w:p>
      <w:pPr>
        <w:pStyle w:val="null3"/>
        <w:ind w:firstLine="960"/>
      </w:pPr>
      <w:r>
        <w:rPr>
          <w:rFonts w:ascii="仿宋_GB2312" w:hAnsi="仿宋_GB2312" w:cs="仿宋_GB2312" w:eastAsia="仿宋_GB2312"/>
        </w:rPr>
        <w:t>详见附件：合理化建议.docx</w:t>
      </w:r>
    </w:p>
    <w:p>
      <w:pPr>
        <w:pStyle w:val="null3"/>
        <w:ind w:firstLine="960"/>
      </w:pPr>
      <w:r>
        <w:rPr>
          <w:rFonts w:ascii="仿宋_GB2312" w:hAnsi="仿宋_GB2312" w:cs="仿宋_GB2312" w:eastAsia="仿宋_GB2312"/>
        </w:rPr>
        <w:t>详见附件：媒体宣传方案.docx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详见附件：响应偏离表.docx</w:t>
      </w:r>
    </w:p>
    <w:p>
      <w:pPr>
        <w:pStyle w:val="null3"/>
        <w:ind w:firstLine="960"/>
      </w:pPr>
      <w:r>
        <w:rPr>
          <w:rFonts w:ascii="仿宋_GB2312" w:hAnsi="仿宋_GB2312" w:cs="仿宋_GB2312" w:eastAsia="仿宋_GB2312"/>
        </w:rPr>
        <w:t>详见附件：应急方案及措施.docx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详见附件：供应商认为有必要补充说明的事宜.docx</w:t>
      </w:r>
    </w:p>
    <w:p>
      <w:pPr>
        <w:pStyle w:val="null3"/>
        <w:ind w:firstLine="960"/>
      </w:pPr>
      <w:r>
        <w:rPr>
          <w:rFonts w:ascii="仿宋_GB2312" w:hAnsi="仿宋_GB2312" w:cs="仿宋_GB2312" w:eastAsia="仿宋_GB2312"/>
        </w:rPr>
        <w:t>详见附件：服务团队及配套设施.docx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