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版本号：YXZB-2025-051620250619001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新城区公务用车信息化建设动态监控运维项目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YXZB-2025-0516</w:t>
      </w:r>
      <w:r>
        <w:br/>
      </w:r>
      <w:r>
        <w:br/>
      </w:r>
      <w:r>
        <w:br/>
      </w:r>
    </w:p>
    <w:p>
      <w:pPr>
        <w:pStyle w:val="null3"/>
        <w:jc w:val="center"/>
        <w:outlineLvl w:val="5"/>
      </w:pPr>
      <w:r>
        <w:rPr>
          <w:rFonts w:ascii="仿宋_GB2312" w:hAnsi="仿宋_GB2312" w:cs="仿宋_GB2312" w:eastAsia="仿宋_GB2312"/>
          <w:sz w:val="15"/>
          <w:b/>
        </w:rPr>
        <w:t>西安市新城区机关事务服务中心</w:t>
      </w:r>
    </w:p>
    <w:p>
      <w:pPr>
        <w:pStyle w:val="null3"/>
        <w:jc w:val="center"/>
        <w:outlineLvl w:val="5"/>
      </w:pPr>
      <w:r>
        <w:rPr>
          <w:rFonts w:ascii="仿宋_GB2312" w:hAnsi="仿宋_GB2312" w:cs="仿宋_GB2312" w:eastAsia="仿宋_GB2312"/>
          <w:sz w:val="15"/>
          <w:b/>
        </w:rPr>
        <w:t>陕西玥鑫项目管理有限公司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陕西玥鑫项目管理有限公司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西安市新城区机关事务服务中心</w:t>
      </w:r>
      <w:r>
        <w:rPr>
          <w:rFonts w:ascii="仿宋_GB2312" w:hAnsi="仿宋_GB2312" w:cs="仿宋_GB2312" w:eastAsia="仿宋_GB2312"/>
        </w:rPr>
        <w:t>委托，拟对</w:t>
      </w:r>
      <w:r>
        <w:rPr>
          <w:rFonts w:ascii="仿宋_GB2312" w:hAnsi="仿宋_GB2312" w:cs="仿宋_GB2312" w:eastAsia="仿宋_GB2312"/>
        </w:rPr>
        <w:t>新城区公务用车信息化建设动态监控运维项目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YXZB-2025-0516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新城区公务用车信息化建设动态监控运维项目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对全区公务用车信息化监管平台系统的日常维护、服务器及数据的运维管理，车载设备维修、拆除、更换、改装、巡检、设备系统的升级及每年平台操作人员的培训等。</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采购包1（新城区公务用车信息化建设动态监控运维项目）：属于专门面向中小企业采购。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法定代表人授权书：法定代表人授权书（附法定代表人身份证复印件）及被授权人身份证复印件（法定代表人直接参加投标只需提供法定代表人身份证明及法定代表人身份证复印件）。自然人只需提供身份证；备注：分支机构由分支机构负责人授权即可；</w:t>
      </w:r>
    </w:p>
    <w:p>
      <w:pPr>
        <w:pStyle w:val="null3"/>
      </w:pPr>
      <w:r>
        <w:rPr>
          <w:rFonts w:ascii="仿宋_GB2312" w:hAnsi="仿宋_GB2312" w:cs="仿宋_GB2312" w:eastAsia="仿宋_GB2312"/>
        </w:rPr>
        <w:t>3、财务状况报告：提供经审计的2023年或2024年财务报告，包括“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4、税收缴纳证明：提供已缴纳的2024年6月至今任意一个月的纳税证明或完税证明，纳税证明或完税证明上应有代收机构或税务机关的公章或业务专用章。依法免税的供应商应提供相关文件证明；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社会保障资金缴纳证明：提供已缴存的2024年6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7、三年内无重大违记录声明：出具参加本次政府采购活动前三年内在经营活动中没有重大违法记录的书面声明；</w:t>
      </w:r>
    </w:p>
    <w:p>
      <w:pPr>
        <w:pStyle w:val="null3"/>
      </w:pPr>
      <w:r>
        <w:rPr>
          <w:rFonts w:ascii="仿宋_GB2312" w:hAnsi="仿宋_GB2312" w:cs="仿宋_GB2312" w:eastAsia="仿宋_GB2312"/>
        </w:rPr>
        <w:t>8、信誉要求：供应商在递交响应文件截止时间前被“信用中国”网站列入失信被执行人或税收违法黑名单的，或在中国政府采购网（www.ccgp.gov.cn）列入政府采购严重违法失信行为记录名单的，不得参加投标；</w:t>
      </w:r>
    </w:p>
    <w:p>
      <w:pPr>
        <w:pStyle w:val="null3"/>
      </w:pPr>
      <w:r>
        <w:rPr>
          <w:rFonts w:ascii="仿宋_GB2312" w:hAnsi="仿宋_GB2312" w:cs="仿宋_GB2312" w:eastAsia="仿宋_GB2312"/>
        </w:rPr>
        <w:t>9、本项目不接受联合体磋商：本项目不接受联合体磋商（提供书面声明）。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西安市新城区机关事务服务中心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陕西省西安市新城区尚德路115号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西安市新城区机关事务服务中心经办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87452890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陕西玥鑫项目管理有限公司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西安市高新区泰维智链中心一期 B 座2层202室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孙梅雪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17791286164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采购包1：498,040.00元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采购包1：498,040.00元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颁发的《招标代理服务收费管理暂行办法》（计价格[2002]1980号）和国家发展改革委员会办公厅颁发的《关于招标代理服务收费有关问题的通知》（发改办价格[2003]857号）的文件的服务类收费标准标准收取。 招标代理服务费由成交单位支付，由成交单位一次性支付给陕西玥鑫项目管理有限公司。</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西安市新城区机关事务服务中心</w:t>
      </w:r>
      <w:r>
        <w:rPr>
          <w:rFonts w:ascii="仿宋_GB2312" w:hAnsi="仿宋_GB2312" w:cs="仿宋_GB2312" w:eastAsia="仿宋_GB2312"/>
        </w:rPr>
        <w:t>和</w:t>
      </w:r>
      <w:r>
        <w:rPr>
          <w:rFonts w:ascii="仿宋_GB2312" w:hAnsi="仿宋_GB2312" w:cs="仿宋_GB2312" w:eastAsia="仿宋_GB2312"/>
        </w:rPr>
        <w:t>陕西玥鑫项目管理有限公司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陕西玥鑫项目管理有限公司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西安市新城区机关事务服务中心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陕西玥鑫项目管理有限公司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满足甲方日常使用管理要求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对全区公务用车信息化监管平台系统的日常维护、服务器及数据的运维管理，车载设备维修、拆除、更换、改装、巡检、设备系统的升级及每年平台操作人员的培训等。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498,040.00</w:t>
      </w:r>
    </w:p>
    <w:p>
      <w:pPr>
        <w:pStyle w:val="null3"/>
      </w:pPr>
      <w:r>
        <w:rPr>
          <w:rFonts w:ascii="仿宋_GB2312" w:hAnsi="仿宋_GB2312" w:cs="仿宋_GB2312" w:eastAsia="仿宋_GB2312"/>
        </w:rPr>
        <w:t>采购包最高限价（元）: 498,040.00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新城区公务用车信息化建设动态监控运维项目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498,040.00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标的名称：新城区公务用车信息化建设动态监控运维项目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需要对整个系统平台进行为期</w:t>
            </w:r>
            <w:r>
              <w:rPr>
                <w:rFonts w:ascii="仿宋_GB2312" w:hAnsi="仿宋_GB2312" w:cs="仿宋_GB2312" w:eastAsia="仿宋_GB2312"/>
                <w:sz w:val="24"/>
              </w:rPr>
              <w:t>1年的维护，维护的范围包括</w:t>
            </w:r>
            <w:r>
              <w:rPr>
                <w:rFonts w:ascii="仿宋_GB2312" w:hAnsi="仿宋_GB2312" w:cs="仿宋_GB2312" w:eastAsia="仿宋_GB2312"/>
                <w:sz w:val="24"/>
                <w:color w:val="000000"/>
              </w:rPr>
              <w:t>网络、服务器及数据的日常运维</w:t>
            </w:r>
            <w:r>
              <w:rPr>
                <w:rFonts w:ascii="仿宋_GB2312" w:hAnsi="仿宋_GB2312" w:cs="仿宋_GB2312" w:eastAsia="仿宋_GB2312"/>
                <w:sz w:val="24"/>
              </w:rPr>
              <w:t>；对</w:t>
            </w:r>
            <w:r>
              <w:rPr>
                <w:rFonts w:ascii="仿宋_GB2312" w:hAnsi="仿宋_GB2312" w:cs="仿宋_GB2312" w:eastAsia="仿宋_GB2312"/>
                <w:sz w:val="24"/>
                <w:color w:val="000000"/>
              </w:rPr>
              <w:t>系统及服务器漏洞扫描与防护；对系统功能的完善及升级；对硬件设备的维护保养；</w:t>
            </w:r>
            <w:r>
              <w:rPr>
                <w:rFonts w:ascii="仿宋_GB2312" w:hAnsi="仿宋_GB2312" w:cs="仿宋_GB2312" w:eastAsia="仿宋_GB2312"/>
                <w:sz w:val="24"/>
              </w:rPr>
              <w:t>对短信平台服务、物联网</w:t>
            </w:r>
            <w:r>
              <w:rPr>
                <w:rFonts w:ascii="仿宋_GB2312" w:hAnsi="仿宋_GB2312" w:cs="仿宋_GB2312" w:eastAsia="仿宋_GB2312"/>
                <w:sz w:val="24"/>
              </w:rPr>
              <w:t>SIM流量专人进行日常管理。针对软件平台系统进行日常维护，每天定时登录服务器检查程序服务中间件、软件系统、服务器软件日志是否存在异常和报错，检查服务器网络是否存在异常；定期漏洞修复；平台功能升级、车载客户端软件、平台联调集成、接入后管理运营、数据备份等维护性操作。对369台北斗定位终端拆除、改装、维修、定期巡检、维护保养、设备系统升级。</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北斗定位车载终端：</w:t>
            </w:r>
            <w:r>
              <w:rPr>
                <w:rFonts w:ascii="仿宋_GB2312" w:hAnsi="仿宋_GB2312" w:cs="仿宋_GB2312" w:eastAsia="仿宋_GB2312"/>
                <w:sz w:val="24"/>
              </w:rPr>
              <w:t>北斗车载终端可实现车辆定位及车身动态信息采集，具有远程参数配置功能，为了保证后续产品服务的连贯性，北斗定位终端供应商应该与本平台建设供应方保持一致或能够提供统一的售后服务及技术服务。</w:t>
            </w:r>
          </w:p>
          <w:p>
            <w:pPr>
              <w:pStyle w:val="null3"/>
              <w:ind w:firstLine="480"/>
              <w:jc w:val="both"/>
            </w:pPr>
            <w:r>
              <w:rPr>
                <w:rFonts w:ascii="仿宋_GB2312" w:hAnsi="仿宋_GB2312" w:cs="仿宋_GB2312" w:eastAsia="仿宋_GB2312"/>
                <w:sz w:val="24"/>
              </w:rPr>
              <w:t>北斗定位车载终端技术要求</w:t>
            </w:r>
          </w:p>
          <w:p>
            <w:pPr>
              <w:pStyle w:val="null3"/>
              <w:ind w:firstLine="480"/>
              <w:jc w:val="both"/>
            </w:pPr>
            <w:r>
              <w:rPr>
                <w:rFonts w:ascii="仿宋_GB2312" w:hAnsi="仿宋_GB2312" w:cs="仿宋_GB2312" w:eastAsia="仿宋_GB2312"/>
                <w:sz w:val="24"/>
              </w:rPr>
              <w:t>1、通过OBD直接获取车辆故障信息；</w:t>
            </w:r>
          </w:p>
          <w:p>
            <w:pPr>
              <w:pStyle w:val="null3"/>
              <w:ind w:firstLine="480"/>
              <w:jc w:val="both"/>
            </w:pPr>
            <w:r>
              <w:rPr>
                <w:rFonts w:ascii="仿宋_GB2312" w:hAnsi="仿宋_GB2312" w:cs="仿宋_GB2312" w:eastAsia="仿宋_GB2312"/>
                <w:sz w:val="24"/>
              </w:rPr>
              <w:t>2、具有实时位置查询、定时监控、盲区补传、终端软件远程升级功能；</w:t>
            </w:r>
          </w:p>
          <w:p>
            <w:pPr>
              <w:pStyle w:val="null3"/>
              <w:ind w:firstLine="480"/>
              <w:jc w:val="both"/>
            </w:pPr>
            <w:r>
              <w:rPr>
                <w:rFonts w:ascii="仿宋_GB2312" w:hAnsi="仿宋_GB2312" w:cs="仿宋_GB2312" w:eastAsia="仿宋_GB2312"/>
                <w:sz w:val="24"/>
              </w:rPr>
              <w:t>3、具有区域限制、超速报警、低压报警、主电源掉电报警功能；</w:t>
            </w:r>
          </w:p>
          <w:p>
            <w:pPr>
              <w:pStyle w:val="null3"/>
              <w:ind w:firstLine="480"/>
              <w:jc w:val="both"/>
            </w:pPr>
            <w:r>
              <w:rPr>
                <w:rFonts w:ascii="仿宋_GB2312" w:hAnsi="仿宋_GB2312" w:cs="仿宋_GB2312" w:eastAsia="仿宋_GB2312"/>
                <w:sz w:val="24"/>
              </w:rPr>
              <w:t>4、拐点补传、基站定位以及低功耗模式；</w:t>
            </w:r>
          </w:p>
          <w:p>
            <w:pPr>
              <w:pStyle w:val="null3"/>
              <w:ind w:firstLine="480"/>
              <w:jc w:val="both"/>
            </w:pPr>
            <w:r>
              <w:rPr>
                <w:rFonts w:ascii="仿宋_GB2312" w:hAnsi="仿宋_GB2312" w:cs="仿宋_GB2312" w:eastAsia="仿宋_GB2312"/>
                <w:sz w:val="24"/>
              </w:rPr>
              <w:t>环境特性：正常工作温度范围</w:t>
            </w:r>
            <w:r>
              <w:rPr>
                <w:rFonts w:ascii="仿宋_GB2312" w:hAnsi="仿宋_GB2312" w:cs="仿宋_GB2312" w:eastAsia="仿宋_GB2312"/>
                <w:sz w:val="24"/>
              </w:rPr>
              <w:t>-25℃～75℃</w:t>
            </w:r>
          </w:p>
          <w:p>
            <w:pPr>
              <w:pStyle w:val="null3"/>
              <w:ind w:firstLine="480"/>
              <w:jc w:val="both"/>
            </w:pPr>
            <w:r>
              <w:rPr>
                <w:rFonts w:ascii="仿宋_GB2312" w:hAnsi="仿宋_GB2312" w:cs="仿宋_GB2312" w:eastAsia="仿宋_GB2312"/>
                <w:sz w:val="24"/>
              </w:rPr>
              <w:t>存储温度范围：</w:t>
            </w:r>
            <w:r>
              <w:rPr>
                <w:rFonts w:ascii="仿宋_GB2312" w:hAnsi="仿宋_GB2312" w:cs="仿宋_GB2312" w:eastAsia="仿宋_GB2312"/>
                <w:sz w:val="24"/>
              </w:rPr>
              <w:t>-40℃～85℃；    工作电压：DC 9～36V；</w:t>
            </w:r>
          </w:p>
          <w:p>
            <w:pPr>
              <w:pStyle w:val="null3"/>
              <w:ind w:firstLine="480"/>
              <w:jc w:val="both"/>
            </w:pPr>
            <w:r>
              <w:rPr>
                <w:rFonts w:ascii="仿宋_GB2312" w:hAnsi="仿宋_GB2312" w:cs="仿宋_GB2312" w:eastAsia="仿宋_GB2312"/>
                <w:sz w:val="24"/>
              </w:rPr>
              <w:t>工作电流：</w:t>
            </w:r>
            <w:r>
              <w:rPr>
                <w:rFonts w:ascii="仿宋_GB2312" w:hAnsi="仿宋_GB2312" w:cs="仿宋_GB2312" w:eastAsia="仿宋_GB2312"/>
                <w:sz w:val="24"/>
              </w:rPr>
              <w:t>48～52mA@12V（休眠状态电流18～21mA@12V）</w:t>
            </w:r>
          </w:p>
          <w:p>
            <w:pPr>
              <w:pStyle w:val="null3"/>
              <w:ind w:firstLine="480"/>
              <w:jc w:val="both"/>
            </w:pPr>
            <w:r>
              <w:rPr>
                <w:rFonts w:ascii="仿宋_GB2312" w:hAnsi="仿宋_GB2312" w:cs="仿宋_GB2312" w:eastAsia="仿宋_GB2312"/>
                <w:sz w:val="24"/>
              </w:rPr>
              <w:t>定位方式：北斗定位；</w:t>
            </w:r>
            <w:r>
              <w:rPr>
                <w:rFonts w:ascii="仿宋_GB2312" w:hAnsi="仿宋_GB2312" w:cs="仿宋_GB2312" w:eastAsia="仿宋_GB2312"/>
                <w:sz w:val="24"/>
              </w:rPr>
              <w:t xml:space="preserve">           </w:t>
            </w:r>
            <w:r>
              <w:rPr>
                <w:rFonts w:ascii="仿宋_GB2312" w:hAnsi="仿宋_GB2312" w:cs="仿宋_GB2312" w:eastAsia="仿宋_GB2312"/>
                <w:sz w:val="24"/>
              </w:rPr>
              <w:t>定位误差：</w:t>
            </w:r>
            <w:r>
              <w:rPr>
                <w:rFonts w:ascii="仿宋_GB2312" w:hAnsi="仿宋_GB2312" w:cs="仿宋_GB2312" w:eastAsia="仿宋_GB2312"/>
                <w:sz w:val="24"/>
              </w:rPr>
              <w:t>10m；</w:t>
            </w:r>
          </w:p>
          <w:p>
            <w:pPr>
              <w:pStyle w:val="null3"/>
              <w:ind w:firstLine="480"/>
              <w:jc w:val="both"/>
            </w:pPr>
            <w:r>
              <w:rPr>
                <w:rFonts w:ascii="仿宋_GB2312" w:hAnsi="仿宋_GB2312" w:cs="仿宋_GB2312" w:eastAsia="仿宋_GB2312"/>
                <w:sz w:val="24"/>
              </w:rPr>
              <w:t>通信网络：</w:t>
            </w:r>
            <w:r>
              <w:rPr>
                <w:rFonts w:ascii="仿宋_GB2312" w:hAnsi="仿宋_GB2312" w:cs="仿宋_GB2312" w:eastAsia="仿宋_GB2312"/>
                <w:sz w:val="24"/>
              </w:rPr>
              <w:t>GPRS；               通讯方式：TCP/UDP；</w:t>
            </w:r>
          </w:p>
          <w:p>
            <w:pPr>
              <w:pStyle w:val="null3"/>
              <w:ind w:firstLine="480"/>
              <w:jc w:val="both"/>
            </w:pPr>
            <w:r>
              <w:rPr>
                <w:rFonts w:ascii="仿宋_GB2312" w:hAnsi="仿宋_GB2312" w:cs="仿宋_GB2312" w:eastAsia="仿宋_GB2312"/>
                <w:sz w:val="24"/>
              </w:rPr>
              <w:t>后备电池工作时间：电池充饱电的前提下，可连续工作</w:t>
            </w:r>
            <w:r>
              <w:rPr>
                <w:rFonts w:ascii="仿宋_GB2312" w:hAnsi="仿宋_GB2312" w:cs="仿宋_GB2312" w:eastAsia="仿宋_GB2312"/>
                <w:sz w:val="24"/>
              </w:rPr>
              <w:t>1.5h左右；</w:t>
            </w:r>
          </w:p>
          <w:p>
            <w:pPr>
              <w:pStyle w:val="null3"/>
              <w:jc w:val="both"/>
            </w:pPr>
            <w:r>
              <w:rPr>
                <w:rFonts w:ascii="仿宋_GB2312" w:hAnsi="仿宋_GB2312" w:cs="仿宋_GB2312" w:eastAsia="仿宋_GB2312"/>
                <w:sz w:val="24"/>
              </w:rPr>
              <w:t>其他性能要求：数据协议符合国家交通部</w:t>
            </w:r>
            <w:r>
              <w:rPr>
                <w:rFonts w:ascii="仿宋_GB2312" w:hAnsi="仿宋_GB2312" w:cs="仿宋_GB2312" w:eastAsia="仿宋_GB2312"/>
                <w:sz w:val="24"/>
              </w:rPr>
              <w:t>JT808协议，无缝过渡公车管理平台，实现车载数据的接收、解析和存储，并与业务关联，实现对平台车辆的监管。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8"/>
              <w:gridCol w:w="289"/>
              <w:gridCol w:w="228"/>
              <w:gridCol w:w="1565"/>
              <w:gridCol w:w="122"/>
              <w:gridCol w:w="122"/>
            </w:tblGrid>
            <w:tr>
              <w:tc>
                <w:tcPr>
                  <w:tcW w:type="dxa" w:w="2554"/>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新城区公务用车信息化建设动态监控运维项目服务采购需求表</w:t>
                  </w:r>
                </w:p>
              </w:tc>
            </w:tr>
            <w:tr>
              <w:tc>
                <w:tcPr>
                  <w:tcW w:type="dxa" w:w="2554"/>
                  <w:gridSpan w:val="6"/>
                  <w:tcBorders>
                    <w:top w:val="non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软件平台及硬件设备</w:t>
                  </w:r>
                </w:p>
              </w:tc>
            </w:tr>
            <w:tr>
              <w:tc>
                <w:tcPr>
                  <w:tcW w:type="dxa" w:w="5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功能模块</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功能描述（或参数要求）</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517"/>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4"/>
                    </w:rPr>
                    <w:t>公务用车信息管理平台</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用户登录</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Web端和APP端支持用户名和口令登录</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4"/>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4"/>
                    </w:rPr>
                    <w:t>套</w:t>
                  </w:r>
                </w:p>
              </w:tc>
            </w:tr>
            <w:tr>
              <w:tc>
                <w:tcPr>
                  <w:tcW w:type="dxa" w:w="517"/>
                  <w:gridSpan w:val="2"/>
                  <w:vMerge/>
                  <w:tcBorders>
                    <w:top w:val="none" w:color="000000" w:sz="4"/>
                    <w:left w:val="single" w:color="000000" w:sz="4"/>
                    <w:bottom w:val="single" w:color="000000" w:sz="4"/>
                    <w:right w:val="single" w:color="000000" w:sz="4"/>
                  </w:tcBorders>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工作台</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展示公车平台总体运行状况，包括车辆数、车辆运行状态、订单数量、使用率等指标；不同角色登录看到不同的展示信息</w:t>
                  </w:r>
                </w:p>
              </w:tc>
              <w:tc>
                <w:tcPr>
                  <w:tcW w:type="dxa" w:w="24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17"/>
                  <w:gridSpan w:val="2"/>
                  <w:vMerge/>
                  <w:tcBorders>
                    <w:top w:val="none" w:color="000000" w:sz="4"/>
                    <w:left w:val="single" w:color="000000" w:sz="4"/>
                    <w:bottom w:val="single" w:color="000000" w:sz="4"/>
                    <w:right w:val="single" w:color="000000" w:sz="4"/>
                  </w:tcBorders>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报警总览</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通过一张图可以看到整个平台车辆不同类型告警信息的总览数据。</w:t>
                  </w:r>
                </w:p>
              </w:tc>
              <w:tc>
                <w:tcPr>
                  <w:tcW w:type="dxa" w:w="24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17"/>
                  <w:gridSpan w:val="2"/>
                  <w:vMerge/>
                  <w:tcBorders>
                    <w:top w:val="none" w:color="000000" w:sz="4"/>
                    <w:left w:val="single" w:color="000000" w:sz="4"/>
                    <w:bottom w:val="single" w:color="000000" w:sz="4"/>
                    <w:right w:val="single" w:color="000000" w:sz="4"/>
                  </w:tcBorders>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报警设置</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可以针对不同的场景和业务流程设置不同的告警规则条件，同时还可以针对短信提醒规则、数据上报规则、告警时效等参数进行设置。</w:t>
                  </w:r>
                </w:p>
              </w:tc>
              <w:tc>
                <w:tcPr>
                  <w:tcW w:type="dxa" w:w="24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17"/>
                  <w:gridSpan w:val="2"/>
                  <w:vMerge/>
                  <w:tcBorders>
                    <w:top w:val="none" w:color="000000" w:sz="4"/>
                    <w:left w:val="single" w:color="000000" w:sz="4"/>
                    <w:bottom w:val="single" w:color="000000" w:sz="4"/>
                    <w:right w:val="single" w:color="000000" w:sz="4"/>
                  </w:tcBorders>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车辆报警</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包括超速报警、离线报警、未审批出车报警、断电报警等几种报警类型的业务数据的统计和呈现。</w:t>
                  </w:r>
                </w:p>
              </w:tc>
              <w:tc>
                <w:tcPr>
                  <w:tcW w:type="dxa" w:w="24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17"/>
                  <w:gridSpan w:val="2"/>
                  <w:vMerge/>
                  <w:tcBorders>
                    <w:top w:val="none" w:color="000000" w:sz="4"/>
                    <w:left w:val="single" w:color="000000" w:sz="4"/>
                    <w:bottom w:val="single" w:color="000000" w:sz="4"/>
                    <w:right w:val="single" w:color="000000" w:sz="4"/>
                  </w:tcBorders>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全省一张网</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通过一张地图实现所有车辆在一张网中定位和呈现，也是体现省市县数据互通的一种场景；</w:t>
                  </w:r>
                </w:p>
              </w:tc>
              <w:tc>
                <w:tcPr>
                  <w:tcW w:type="dxa" w:w="24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17"/>
                  <w:gridSpan w:val="2"/>
                  <w:vMerge/>
                  <w:tcBorders>
                    <w:top w:val="none" w:color="000000" w:sz="4"/>
                    <w:left w:val="single" w:color="000000" w:sz="4"/>
                    <w:bottom w:val="single" w:color="000000" w:sz="4"/>
                    <w:right w:val="single" w:color="000000" w:sz="4"/>
                  </w:tcBorders>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监督分析</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包括车辆统计、订单统计、历史统计等：可以对车辆数据进行统计；可按照单位部门、车辆类型等维度实现车辆统计，按照车辆的性质分类、车辆的类型进行统计；对产生的订单数据进行不同维度的统计分析，可按照出行次数、区域订单数、时间等维度进行统计，可按照数量进行排行；对车辆的使用频率进行统计和分析，按照使用率进行排行；</w:t>
                  </w:r>
                </w:p>
              </w:tc>
              <w:tc>
                <w:tcPr>
                  <w:tcW w:type="dxa" w:w="24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17"/>
                  <w:gridSpan w:val="2"/>
                  <w:vMerge/>
                  <w:tcBorders>
                    <w:top w:val="none" w:color="000000" w:sz="4"/>
                    <w:left w:val="single" w:color="000000" w:sz="4"/>
                    <w:bottom w:val="single" w:color="000000" w:sz="4"/>
                    <w:right w:val="single" w:color="000000" w:sz="4"/>
                  </w:tcBorders>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用车申请</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支持在线申请公务用车流程，满足本单位用车、跨单位用车等不同场景下的流程需要；支持对于任务型场景下的用车需求，满足应急公务、执法执勤等特殊场景下的用车申请流程</w:t>
                  </w:r>
                </w:p>
              </w:tc>
              <w:tc>
                <w:tcPr>
                  <w:tcW w:type="dxa" w:w="24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17"/>
                  <w:gridSpan w:val="2"/>
                  <w:vMerge/>
                  <w:tcBorders>
                    <w:top w:val="none" w:color="000000" w:sz="4"/>
                    <w:left w:val="single" w:color="000000" w:sz="4"/>
                    <w:bottom w:val="single" w:color="000000" w:sz="4"/>
                    <w:right w:val="single" w:color="000000" w:sz="4"/>
                  </w:tcBorders>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车辆监控</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支持在一张图上实现所有车辆的位置定位；针对车辆实时位置，可进行动态车辆跟踪，查看车辆当前状态和位置以及对应的订单信息；系统提供车辆轨迹回放功能，通过查询目标车辆运行的历史时间段，在地图上勾画车辆运行轨迹，并可动态播放；</w:t>
                  </w:r>
                </w:p>
              </w:tc>
              <w:tc>
                <w:tcPr>
                  <w:tcW w:type="dxa" w:w="24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17"/>
                  <w:gridSpan w:val="2"/>
                  <w:vMerge/>
                  <w:tcBorders>
                    <w:top w:val="none" w:color="000000" w:sz="4"/>
                    <w:left w:val="single" w:color="000000" w:sz="4"/>
                    <w:bottom w:val="single" w:color="000000" w:sz="4"/>
                    <w:right w:val="single" w:color="000000" w:sz="4"/>
                  </w:tcBorders>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车辆档案</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提供对所有车辆登记功能，支持信息的更新、图片上传以及信息维护等基本功能；</w:t>
                  </w:r>
                </w:p>
              </w:tc>
              <w:tc>
                <w:tcPr>
                  <w:tcW w:type="dxa" w:w="24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17"/>
                  <w:gridSpan w:val="2"/>
                  <w:vMerge/>
                  <w:tcBorders>
                    <w:top w:val="none" w:color="000000" w:sz="4"/>
                    <w:left w:val="single" w:color="000000" w:sz="4"/>
                    <w:bottom w:val="single" w:color="000000" w:sz="4"/>
                    <w:right w:val="single" w:color="000000" w:sz="4"/>
                  </w:tcBorders>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车辆维护</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平台应该具备对车辆的维保记录、加油管理、油卡、年检、违章、</w:t>
                  </w:r>
                  <w:r>
                    <w:rPr>
                      <w:rFonts w:ascii="仿宋_GB2312" w:hAnsi="仿宋_GB2312" w:cs="仿宋_GB2312" w:eastAsia="仿宋_GB2312"/>
                      <w:sz w:val="24"/>
                    </w:rPr>
                    <w:t>ETC、保险等，与车辆维护相关的管理功能，可以通过平台信息了解该车辆的运行维护现状；</w:t>
                  </w:r>
                </w:p>
              </w:tc>
              <w:tc>
                <w:tcPr>
                  <w:tcW w:type="dxa" w:w="24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17"/>
                  <w:gridSpan w:val="2"/>
                  <w:vMerge/>
                  <w:tcBorders>
                    <w:top w:val="none" w:color="000000" w:sz="4"/>
                    <w:left w:val="single" w:color="000000" w:sz="4"/>
                    <w:bottom w:val="single" w:color="000000" w:sz="4"/>
                    <w:right w:val="single" w:color="000000" w:sz="4"/>
                  </w:tcBorders>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驾驶员管理</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提供对驾驶员信息的维护管理功能，可对驾驶员档案进行登记和维护；同时对于驾驶员考勤，包括出勤、请假等日常工作在岗状态进行管理；</w:t>
                  </w:r>
                </w:p>
              </w:tc>
              <w:tc>
                <w:tcPr>
                  <w:tcW w:type="dxa" w:w="24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17"/>
                  <w:gridSpan w:val="2"/>
                  <w:vMerge/>
                  <w:tcBorders>
                    <w:top w:val="none" w:color="000000" w:sz="4"/>
                    <w:left w:val="single" w:color="000000" w:sz="4"/>
                    <w:bottom w:val="single" w:color="000000" w:sz="4"/>
                    <w:right w:val="single" w:color="000000" w:sz="4"/>
                  </w:tcBorders>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第三方公司对接</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系统提供针对可以提供合作的社会化车辆租赁、维保、保险等第三方运营公司的信息进行新增、编辑、删除、停用等日常管理操作</w:t>
                  </w:r>
                </w:p>
              </w:tc>
              <w:tc>
                <w:tcPr>
                  <w:tcW w:type="dxa" w:w="24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17"/>
                  <w:gridSpan w:val="2"/>
                  <w:vMerge/>
                  <w:tcBorders>
                    <w:top w:val="none" w:color="000000" w:sz="4"/>
                    <w:left w:val="single" w:color="000000" w:sz="4"/>
                    <w:bottom w:val="single" w:color="000000" w:sz="4"/>
                    <w:right w:val="single" w:color="000000" w:sz="4"/>
                  </w:tcBorders>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系统设置</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为保证系统正常运行，提供用户管理、权限设置、角色、流程参数等有关基础维护的相关功能；</w:t>
                  </w:r>
                </w:p>
              </w:tc>
              <w:tc>
                <w:tcPr>
                  <w:tcW w:type="dxa" w:w="24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517"/>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4"/>
                    </w:rPr>
                    <w:t>手机客户端软件</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手机</w:t>
                  </w:r>
                  <w:r>
                    <w:rPr>
                      <w:rFonts w:ascii="仿宋_GB2312" w:hAnsi="仿宋_GB2312" w:cs="仿宋_GB2312" w:eastAsia="仿宋_GB2312"/>
                      <w:sz w:val="24"/>
                    </w:rPr>
                    <w:t>APP</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实现驾驶员账号口令登录，在线任务操作，通过手机</w:t>
                  </w:r>
                  <w:r>
                    <w:rPr>
                      <w:rFonts w:ascii="仿宋_GB2312" w:hAnsi="仿宋_GB2312" w:cs="仿宋_GB2312" w:eastAsia="仿宋_GB2312"/>
                      <w:sz w:val="24"/>
                    </w:rPr>
                    <w:t>APP实现接单、执行任务、提交车辆产生费用、入库操作；在线申请维修、保养，在线申请请假、休假，打卡签到操作，实现任务导航功能等。</w:t>
                  </w:r>
                </w:p>
                <w:p>
                  <w:pPr>
                    <w:pStyle w:val="null3"/>
                    <w:jc w:val="both"/>
                  </w:pPr>
                  <w:r>
                    <w:rPr>
                      <w:rFonts w:ascii="仿宋_GB2312" w:hAnsi="仿宋_GB2312" w:cs="仿宋_GB2312" w:eastAsia="仿宋_GB2312"/>
                      <w:sz w:val="24"/>
                    </w:rPr>
                    <w:t>管理人员通过账号、口令登录，实现订单多级在线审批，车辆总体位置监控、单车任务跟踪、历史轨迹回放、费用核实、统计分析、调度日志查看。</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4"/>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4"/>
                    </w:rPr>
                    <w:t>套</w:t>
                  </w:r>
                </w:p>
              </w:tc>
            </w:tr>
            <w:tr>
              <w:tc>
                <w:tcPr>
                  <w:tcW w:type="dxa" w:w="517"/>
                  <w:gridSpan w:val="2"/>
                  <w:vMerge/>
                  <w:tcBorders>
                    <w:top w:val="none" w:color="000000" w:sz="4"/>
                    <w:left w:val="single" w:color="000000" w:sz="4"/>
                    <w:bottom w:val="single" w:color="000000" w:sz="4"/>
                    <w:right w:val="single" w:color="000000" w:sz="4"/>
                  </w:tcBorders>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微信小程序</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实现驾驶员账号口令登录，在线任务操作，通过手机</w:t>
                  </w:r>
                  <w:r>
                    <w:rPr>
                      <w:rFonts w:ascii="仿宋_GB2312" w:hAnsi="仿宋_GB2312" w:cs="仿宋_GB2312" w:eastAsia="仿宋_GB2312"/>
                      <w:sz w:val="24"/>
                    </w:rPr>
                    <w:t>APP实现接单、执行任务、提交车辆产生费用、入库操作；在线申请维修、保养，在线申请请假、休假，打卡签到操作，实现任务导航功能等。</w:t>
                  </w:r>
                </w:p>
                <w:p>
                  <w:pPr>
                    <w:pStyle w:val="null3"/>
                    <w:jc w:val="both"/>
                  </w:pPr>
                  <w:r>
                    <w:rPr>
                      <w:rFonts w:ascii="仿宋_GB2312" w:hAnsi="仿宋_GB2312" w:cs="仿宋_GB2312" w:eastAsia="仿宋_GB2312"/>
                      <w:sz w:val="24"/>
                    </w:rPr>
                    <w:t>管理人员通过账号、口令登录，实现订单多级在线审批，车辆总体位置监控、单车任务跟踪、历史轨迹回放、费用核实、统计分析、调度日志查看。</w:t>
                  </w:r>
                </w:p>
              </w:tc>
              <w:tc>
                <w:tcPr>
                  <w:tcW w:type="dxa" w:w="244"/>
                  <w:gridSpan w:val="2"/>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54"/>
                  <w:gridSpan w:val="6"/>
                  <w:tcBorders>
                    <w:top w:val="non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运行维护服务</w:t>
                  </w:r>
                </w:p>
              </w:tc>
            </w:tr>
            <w:tr>
              <w:tc>
                <w:tcPr>
                  <w:tcW w:type="dxa" w:w="5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运维服务项目</w:t>
                  </w:r>
                </w:p>
              </w:tc>
              <w:tc>
                <w:tcPr>
                  <w:tcW w:type="dxa" w:w="179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要求指标或服务内容</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4"/>
                    </w:rPr>
                    <w:t>公务用车信息化管理服务平台维护费用</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4"/>
                    </w:rPr>
                    <w:t>网络、服务器及数据日常运维</w:t>
                  </w:r>
                </w:p>
              </w:tc>
              <w:tc>
                <w:tcPr>
                  <w:tcW w:type="dxa" w:w="17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为防止网络安全攻击对服务器、网络、数据库进行日常维护以及可能如设备、人员操作不当引起的数据损失或设备问题，保障数据的完整性和可用性，对数据库采用实时的增量备份，并进行每日凌晨的定期全量备份，数据备份文件压缩后存放于当地环境，并做好访问权限防护，也用于必要的数据恢复</w:t>
                  </w:r>
                </w:p>
              </w:tc>
              <w:tc>
                <w:tcPr>
                  <w:tcW w:type="dxa" w:w="1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4"/>
                    </w:rPr>
                    <w:t>369</w:t>
                  </w:r>
                </w:p>
              </w:tc>
              <w:tc>
                <w:tcPr>
                  <w:tcW w:type="dxa" w:w="12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4"/>
                    </w:rPr>
                    <w:t>台</w:t>
                  </w:r>
                </w:p>
              </w:tc>
            </w:tr>
            <w:tr>
              <w:tc>
                <w:tcPr>
                  <w:tcW w:type="dxa" w:w="228"/>
                  <w:vMerge/>
                  <w:tcBorders>
                    <w:top w:val="none" w:color="000000" w:sz="4"/>
                    <w:left w:val="singl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4"/>
                    </w:rPr>
                    <w:t>系统安全管理</w:t>
                  </w:r>
                </w:p>
              </w:tc>
              <w:tc>
                <w:tcPr>
                  <w:tcW w:type="dxa" w:w="17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提供系统及服务器漏洞扫描与防护，并提供报告</w:t>
                  </w:r>
                </w:p>
              </w:tc>
              <w:tc>
                <w:tcPr>
                  <w:tcW w:type="dxa" w:w="122"/>
                  <w:vMerge/>
                  <w:tcBorders>
                    <w:top w:val="none" w:color="000000" w:sz="4"/>
                    <w:left w:val="none" w:color="000000" w:sz="4"/>
                    <w:bottom w:val="single" w:color="000000" w:sz="4"/>
                    <w:right w:val="single" w:color="000000" w:sz="4"/>
                  </w:tcBorders>
                </w:tcPr>
                <w:p/>
              </w:tc>
              <w:tc>
                <w:tcPr>
                  <w:tcW w:type="dxa" w:w="122"/>
                  <w:vMerge/>
                  <w:tcBorders>
                    <w:top w:val="single" w:color="000000" w:sz="4"/>
                    <w:left w:val="none" w:color="000000" w:sz="4"/>
                    <w:bottom w:val="single" w:color="000000" w:sz="4"/>
                    <w:right w:val="single" w:color="000000" w:sz="4"/>
                  </w:tcBorders>
                </w:tcPr>
                <w:p/>
              </w:tc>
            </w:tr>
            <w:tr>
              <w:tc>
                <w:tcPr>
                  <w:tcW w:type="dxa" w:w="228"/>
                  <w:vMerge/>
                  <w:tcBorders>
                    <w:top w:val="none" w:color="000000" w:sz="4"/>
                    <w:left w:val="singl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4"/>
                    </w:rPr>
                    <w:t>系统功能需求变更</w:t>
                  </w:r>
                </w:p>
              </w:tc>
              <w:tc>
                <w:tcPr>
                  <w:tcW w:type="dxa" w:w="17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在使用系统的过程中，针对公务用车管理服务特点，进行系统适配需求变更及系统升级。个性化需求专项开发</w:t>
                  </w:r>
                </w:p>
              </w:tc>
              <w:tc>
                <w:tcPr>
                  <w:tcW w:type="dxa" w:w="122"/>
                  <w:vMerge/>
                  <w:tcBorders>
                    <w:top w:val="none" w:color="000000" w:sz="4"/>
                    <w:left w:val="none" w:color="000000" w:sz="4"/>
                    <w:bottom w:val="single" w:color="000000" w:sz="4"/>
                    <w:right w:val="single" w:color="000000" w:sz="4"/>
                  </w:tcBorders>
                </w:tcPr>
                <w:p/>
              </w:tc>
              <w:tc>
                <w:tcPr>
                  <w:tcW w:type="dxa" w:w="122"/>
                  <w:vMerge/>
                  <w:tcBorders>
                    <w:top w:val="single" w:color="000000" w:sz="4"/>
                    <w:left w:val="none" w:color="000000" w:sz="4"/>
                    <w:bottom w:val="single" w:color="000000" w:sz="4"/>
                    <w:right w:val="single" w:color="000000" w:sz="4"/>
                  </w:tcBorders>
                </w:tcPr>
                <w:p/>
              </w:tc>
            </w:tr>
            <w:tr>
              <w:tc>
                <w:tcPr>
                  <w:tcW w:type="dxa" w:w="228"/>
                  <w:vMerge/>
                  <w:tcBorders>
                    <w:top w:val="none" w:color="000000" w:sz="4"/>
                    <w:left w:val="singl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硬件设备维护</w:t>
                  </w:r>
                </w:p>
              </w:tc>
              <w:tc>
                <w:tcPr>
                  <w:tcW w:type="dxa" w:w="17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北斗定位终端拆除、改装、维修、定期巡检、维护保养、设备系统升级</w:t>
                  </w:r>
                </w:p>
              </w:tc>
              <w:tc>
                <w:tcPr>
                  <w:tcW w:type="dxa" w:w="122"/>
                  <w:vMerge/>
                  <w:tcBorders>
                    <w:top w:val="none" w:color="000000" w:sz="4"/>
                    <w:left w:val="none" w:color="000000" w:sz="4"/>
                    <w:bottom w:val="single" w:color="000000" w:sz="4"/>
                    <w:right w:val="single" w:color="000000" w:sz="4"/>
                  </w:tcBorders>
                </w:tcPr>
                <w:p/>
              </w:tc>
              <w:tc>
                <w:tcPr>
                  <w:tcW w:type="dxa" w:w="122"/>
                  <w:vMerge/>
                  <w:tcBorders>
                    <w:top w:val="single" w:color="000000" w:sz="4"/>
                    <w:left w:val="none" w:color="000000" w:sz="4"/>
                    <w:bottom w:val="single" w:color="000000" w:sz="4"/>
                    <w:right w:val="single" w:color="000000" w:sz="4"/>
                  </w:tcBorders>
                </w:tcPr>
                <w:p/>
              </w:tc>
            </w:tr>
            <w:tr>
              <w:tc>
                <w:tcPr>
                  <w:tcW w:type="dxa" w:w="228"/>
                  <w:vMerge/>
                  <w:tcBorders>
                    <w:top w:val="none" w:color="000000" w:sz="4"/>
                    <w:left w:val="singl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软件系统各项功能现场培训</w:t>
                  </w:r>
                </w:p>
              </w:tc>
              <w:tc>
                <w:tcPr>
                  <w:tcW w:type="dxa" w:w="17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系统电脑端、</w:t>
                  </w:r>
                  <w:r>
                    <w:rPr>
                      <w:rFonts w:ascii="仿宋_GB2312" w:hAnsi="仿宋_GB2312" w:cs="仿宋_GB2312" w:eastAsia="仿宋_GB2312"/>
                      <w:sz w:val="24"/>
                    </w:rPr>
                    <w:t>APP端、小程序的不定期培训</w:t>
                  </w:r>
                </w:p>
              </w:tc>
              <w:tc>
                <w:tcPr>
                  <w:tcW w:type="dxa" w:w="122"/>
                  <w:vMerge/>
                  <w:tcBorders>
                    <w:top w:val="none" w:color="000000" w:sz="4"/>
                    <w:left w:val="none" w:color="000000" w:sz="4"/>
                    <w:bottom w:val="single" w:color="000000" w:sz="4"/>
                    <w:right w:val="single" w:color="000000" w:sz="4"/>
                  </w:tcBorders>
                </w:tcPr>
                <w:p/>
              </w:tc>
              <w:tc>
                <w:tcPr>
                  <w:tcW w:type="dxa" w:w="122"/>
                  <w:vMerge/>
                  <w:tcBorders>
                    <w:top w:val="single" w:color="000000" w:sz="4"/>
                    <w:left w:val="none" w:color="000000" w:sz="4"/>
                    <w:bottom w:val="single" w:color="000000" w:sz="4"/>
                    <w:right w:val="single" w:color="000000" w:sz="4"/>
                  </w:tcBorders>
                </w:tcPr>
                <w:p/>
              </w:tc>
            </w:tr>
            <w:tr>
              <w:tc>
                <w:tcPr>
                  <w:tcW w:type="dxa" w:w="228"/>
                  <w:vMerge/>
                  <w:tcBorders>
                    <w:top w:val="none" w:color="000000" w:sz="4"/>
                    <w:left w:val="singl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服务台远程运维服务</w:t>
                  </w:r>
                </w:p>
              </w:tc>
              <w:tc>
                <w:tcPr>
                  <w:tcW w:type="dxa" w:w="17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提供手机、微信群、微信等多种渠道的售后服务，为各使用单位提供</w:t>
                  </w:r>
                  <w:r>
                    <w:rPr>
                      <w:rFonts w:ascii="仿宋_GB2312" w:hAnsi="仿宋_GB2312" w:cs="仿宋_GB2312" w:eastAsia="仿宋_GB2312"/>
                      <w:sz w:val="24"/>
                    </w:rPr>
                    <w:t>7×24小时服务。</w:t>
                  </w:r>
                </w:p>
              </w:tc>
              <w:tc>
                <w:tcPr>
                  <w:tcW w:type="dxa" w:w="122"/>
                  <w:vMerge/>
                  <w:tcBorders>
                    <w:top w:val="none" w:color="000000" w:sz="4"/>
                    <w:left w:val="none" w:color="000000" w:sz="4"/>
                    <w:bottom w:val="single" w:color="000000" w:sz="4"/>
                    <w:right w:val="single" w:color="000000" w:sz="4"/>
                  </w:tcBorders>
                </w:tcPr>
                <w:p/>
              </w:tc>
              <w:tc>
                <w:tcPr>
                  <w:tcW w:type="dxa" w:w="122"/>
                  <w:vMerge/>
                  <w:tcBorders>
                    <w:top w:val="single" w:color="000000" w:sz="4"/>
                    <w:left w:val="none" w:color="000000" w:sz="4"/>
                    <w:bottom w:val="single" w:color="000000" w:sz="4"/>
                    <w:right w:val="single" w:color="000000" w:sz="4"/>
                  </w:tcBorders>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SIM卡流量费</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物联网</w:t>
                  </w:r>
                  <w:r>
                    <w:rPr>
                      <w:rFonts w:ascii="仿宋_GB2312" w:hAnsi="仿宋_GB2312" w:cs="仿宋_GB2312" w:eastAsia="仿宋_GB2312"/>
                      <w:sz w:val="24"/>
                    </w:rPr>
                    <w:t>SIM卡流量费</w:t>
                  </w:r>
                </w:p>
              </w:tc>
              <w:tc>
                <w:tcPr>
                  <w:tcW w:type="dxa" w:w="17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物联网卡移动数据通讯及流量费，用于车辆定位监控系统、设备远程升级维护所有数据通讯</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4"/>
                    </w:rPr>
                    <w:t>369</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4"/>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平台短信服务费</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平台短信服务费</w:t>
                  </w:r>
                </w:p>
              </w:tc>
              <w:tc>
                <w:tcPr>
                  <w:tcW w:type="dxa" w:w="17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4"/>
                    </w:rPr>
                    <w:t>10690专用通道短信费；用于平台系统所有用车申请、审核、调度等短信通知，会议培训通知及相关报警事件触发提醒通知等。</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4"/>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4"/>
                    </w:rPr>
                    <w:t>年</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平台云资源服务费</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平台云资源服务费</w:t>
                  </w:r>
                </w:p>
              </w:tc>
              <w:tc>
                <w:tcPr>
                  <w:tcW w:type="dxa" w:w="17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云服务器租赁：包括信息安全防护、防火墙、云服务主机、存储、网络带宽和数据灾备服务。</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4"/>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4"/>
                    </w:rPr>
                    <w:t>年</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依照谈判文件要求满足采购人项目需求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依照谈判文件要求满足采购人项目需求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自合同签订之日起一年，若服务期限满一年供应商未出现重大违约情况，则直接续签一年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采购人规定地点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合同签订之日起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2025年12月31日前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软硬件安装调试和运行后，由中标服务商向采购人递交安装调试记录和竣工通知书，经采购人确认后，组织中标服务商进行系统验收；维保期满后，采购人根据谈判文件和投标文件及相关文件，进行验收，确认服务标准和服务方式是否达到采购要求；必要时采购人可委托具有相关资质的第三方检测机构/技术专家对产品进行平台验收，需要国家法定检验部门进行检验或验收的由中标服务商负责联系。验收合格后，填写政府采购项目验收单（一式伍份）作为对软硬件的最终认可。</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如中标服务商事先未征得采购人书面同意而单方面延迟完成项目的，每逾期一日按照合同总额的万分之五承担违约责任；中标服务商逾期累计15天以上的，采购人有权解除合同,并要求中标服务商承担合同价款30%的违约金。 （二）中标服务商所供主要硬件或软件不符合招标文件规定或不合格的或本项目不能通过验收的，采购人有权解除合同，同时采购人有权扣除质保金，并要求中标服务商承担合同价款30%的违约金。 （三）部分设备不合格的，采购人有权要求中标服务商在指定期间内免费更换，中标服务商拒不更换的，采购人有权自行或委托第三方购买设备，但设备供应费、运输费等合理费用由中标服务商承担。上述费用从质保金中扣除，不足部分由中标服务商承担。同时，中标服务商应在三日内补足质保金。 （四）质保期内中标服务商未按照招标文件、投标文件规定及合同约定提供维保服务的，采购人有权指定第三方提供维保服务，但第三方维修费、交通费、人工费等合理费用由中标服务商承担。上述相关费用从质保金中扣除，质保金不足的，中标服务商应在三日内补足质保金。若出现运维保障事故（包括但不限于无应答、应答超时、处理无效等）超过3次以上，甲方有权要求乙方更换服务人员。因乙方原因造成甲方无法正常使用系统软件的，按延误实际天数，按合同总款项的万份之五的标准按日支付违约金。 （五）因中标服务商提供的硬件软件等服务侵害他人权利或者造成采购人损害的，中标服务商承担全招标部赔偿责任。采购人因此涉诉或承担赔偿责任的，一切经济损失由中标服务商承担，包括但不限于赔偿金、罚款、律师费、诉讼保全费、差旅费等费用。 （六）中标服务商在提供服务过程中造成他人损害的，由中标服务商承担全部责任。采购人因此涉诉或承担赔偿责任的，一切经济损失由中标服务商承担，包括但不限于赔偿金、罚款、律师费、诉讼保全费、差旅费等费用。 （七）中标服务商应在收到解除通知后7天内退还已收取的款项。上述约定的违约条款可合并适用，合并适用后仍不能弥补采购人损失的，采购人有权继续追偿。 （八）未按合同要求提供软硬件及服务或软硬件及服务质量不能满足合同要求，采购人应当将服务商违约的情况以及拟采取的措施以书面形式报政府采购监管部门，根据政府采购监管部门的处理意见，采购人有权依据《中华人民共和国民法典》有关条款及合同约定终止合同，并要求服务商承担违约责任。同时，政府采购监管部门有权依据《政府采购法》及相关法律法规对服务商的违法行为进行相应的处罚。 合同执行中发生争议的，当事人双方应协商解决，协商达不成一致时，向采购人所在地人民法院提请诉讼。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采购人依据供应商最终实际工作量据实结算实际费用。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需提供法定代表人身份证明及法定代表人身份证复印件）。自然人只需提供身份证；备注：分支机构由分支机构负责人授权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或2024年财务报告，包括“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提供已缴纳的2024年6月至今任意一个月的纳税证明或完税证明，纳税证明或完税证明上应有代收机构或税务机关的公章或业务专用章。依法免税的供应商应提供相关文件证明；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6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三年内无重大违记录声明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供应商在递交响应文件截止时间前被“信用中国”网站列入失信被执行人或税收违法黑名单的，或在中国政府采购网（www.ccgp.gov.cn）列入政府采购严重违法失信行为记录名单的，不得参加投标；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响应文件中项目名称、项目编号与本项目一致，按照招标文件要求签字盖章，无遗漏</w:t>
            </w:r>
          </w:p>
        </w:tc>
        <w:tc>
          <w:tcPr>
            <w:tcW w:type="dxa" w:w="3322"/>
          </w:tcPr>
          <w:p>
            <w:pPr>
              <w:pStyle w:val="null3"/>
            </w:pPr>
            <w:r>
              <w:rPr>
                <w:rFonts w:ascii="仿宋_GB2312" w:hAnsi="仿宋_GB2312" w:cs="仿宋_GB2312" w:eastAsia="仿宋_GB2312"/>
              </w:rPr>
              <w:t>响应文件中项目名称、项目编号与本项目一致，按照招标文件要求签字盖章，无遗漏。 “投标响应文件格式”中凡注明“签字和盖章”处，供应商必须既手写签字又盖章；“投标响应文件格式”中凡注明“签字或盖章”处，供应商实施一项内容即可；投标响应文件中所附的相关材料的复印件，也须加盖供应商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