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C3470E">
      <w:pPr>
        <w:pStyle w:val="3"/>
        <w:numPr>
          <w:ilvl w:val="0"/>
          <w:numId w:val="0"/>
        </w:numPr>
        <w:snapToGrid w:val="0"/>
        <w:spacing w:line="360" w:lineRule="auto"/>
        <w:jc w:val="center"/>
        <w:rPr>
          <w:rFonts w:hint="eastAsia" w:hAnsi="宋体" w:cs="宋体"/>
          <w:sz w:val="36"/>
          <w:szCs w:val="36"/>
          <w:highlight w:val="none"/>
        </w:rPr>
      </w:pPr>
      <w:r>
        <w:rPr>
          <w:rFonts w:hint="eastAsia" w:hAnsi="宋体" w:cs="宋体"/>
          <w:sz w:val="36"/>
          <w:szCs w:val="36"/>
          <w:highlight w:val="none"/>
        </w:rPr>
        <w:t xml:space="preserve"> 合同格式及主要条款</w:t>
      </w:r>
    </w:p>
    <w:p w14:paraId="1334E939">
      <w:pPr>
        <w:spacing w:before="120" w:line="360" w:lineRule="auto"/>
        <w:jc w:val="center"/>
        <w:rPr>
          <w:rFonts w:hint="eastAsia" w:ascii="宋体" w:hAnsi="宋体" w:cs="宋体"/>
          <w:b/>
          <w:bCs/>
          <w:sz w:val="28"/>
          <w:szCs w:val="28"/>
          <w:highlight w:val="none"/>
        </w:rPr>
      </w:pPr>
      <w:r>
        <w:rPr>
          <w:rFonts w:hint="eastAsia" w:ascii="宋体" w:hAnsi="宋体" w:cs="宋体"/>
          <w:b/>
          <w:bCs/>
          <w:sz w:val="28"/>
          <w:szCs w:val="28"/>
          <w:highlight w:val="none"/>
        </w:rPr>
        <w:t>（</w:t>
      </w:r>
      <w:r>
        <w:rPr>
          <w:rFonts w:hint="eastAsia" w:ascii="宋体" w:hAnsi="宋体" w:cs="宋体"/>
          <w:b/>
          <w:bCs/>
          <w:sz w:val="28"/>
          <w:szCs w:val="28"/>
          <w:highlight w:val="none"/>
          <w:lang w:val="en-US" w:eastAsia="zh-CN"/>
        </w:rPr>
        <w:t>本合同范本仅供</w:t>
      </w:r>
      <w:r>
        <w:rPr>
          <w:rFonts w:hint="eastAsia" w:ascii="宋体" w:hAnsi="宋体" w:cs="宋体"/>
          <w:b/>
          <w:bCs/>
          <w:sz w:val="28"/>
          <w:szCs w:val="28"/>
          <w:highlight w:val="none"/>
        </w:rPr>
        <w:t>参考</w:t>
      </w:r>
      <w:r>
        <w:rPr>
          <w:rFonts w:hint="eastAsia" w:ascii="宋体" w:hAnsi="宋体" w:cs="宋体"/>
          <w:b/>
          <w:bCs/>
          <w:sz w:val="28"/>
          <w:szCs w:val="28"/>
          <w:highlight w:val="none"/>
          <w:lang w:eastAsia="zh-CN"/>
        </w:rPr>
        <w:t>，</w:t>
      </w:r>
      <w:r>
        <w:rPr>
          <w:rFonts w:hint="eastAsia" w:ascii="宋体" w:hAnsi="宋体" w:cs="宋体"/>
          <w:b/>
          <w:bCs/>
          <w:sz w:val="28"/>
          <w:szCs w:val="28"/>
          <w:highlight w:val="none"/>
          <w:lang w:val="en-US" w:eastAsia="zh-CN"/>
        </w:rPr>
        <w:t>以后续实际签订合同为准</w:t>
      </w:r>
      <w:r>
        <w:rPr>
          <w:rFonts w:hint="eastAsia" w:ascii="宋体" w:hAnsi="宋体" w:cs="宋体"/>
          <w:b/>
          <w:bCs/>
          <w:sz w:val="28"/>
          <w:szCs w:val="28"/>
          <w:highlight w:val="none"/>
        </w:rPr>
        <w:t>）</w:t>
      </w:r>
    </w:p>
    <w:p w14:paraId="4C051555">
      <w:pPr>
        <w:spacing w:before="120" w:line="360" w:lineRule="auto"/>
        <w:jc w:val="center"/>
        <w:rPr>
          <w:rFonts w:hint="eastAsia" w:ascii="宋体" w:hAnsi="宋体" w:cs="宋体"/>
          <w:b/>
          <w:bCs/>
          <w:sz w:val="36"/>
          <w:szCs w:val="36"/>
          <w:highlight w:val="none"/>
        </w:rPr>
      </w:pPr>
    </w:p>
    <w:p w14:paraId="1DE7BA40">
      <w:pPr>
        <w:spacing w:before="120" w:line="360" w:lineRule="auto"/>
        <w:jc w:val="center"/>
        <w:rPr>
          <w:rFonts w:hint="eastAsia" w:ascii="宋体" w:hAnsi="宋体" w:cs="宋体"/>
          <w:b/>
          <w:bCs/>
          <w:sz w:val="36"/>
          <w:szCs w:val="36"/>
          <w:highlight w:val="none"/>
        </w:rPr>
      </w:pPr>
      <w:r>
        <w:rPr>
          <w:rFonts w:hint="eastAsia" w:ascii="宋体" w:hAnsi="宋体" w:cs="宋体"/>
          <w:b/>
          <w:bCs/>
          <w:sz w:val="36"/>
          <w:szCs w:val="36"/>
          <w:highlight w:val="none"/>
        </w:rPr>
        <w:t>政 府 采 购 合 同</w:t>
      </w:r>
    </w:p>
    <w:p w14:paraId="5FA037AC">
      <w:pPr>
        <w:spacing w:before="120" w:line="360" w:lineRule="auto"/>
        <w:jc w:val="center"/>
        <w:rPr>
          <w:rFonts w:hint="eastAsia" w:ascii="宋体" w:hAnsi="宋体" w:cs="宋体"/>
          <w:sz w:val="28"/>
          <w:szCs w:val="28"/>
          <w:highlight w:val="none"/>
        </w:rPr>
      </w:pPr>
    </w:p>
    <w:p w14:paraId="1B4C4C69">
      <w:pPr>
        <w:spacing w:before="120" w:line="360" w:lineRule="auto"/>
        <w:rPr>
          <w:rFonts w:hint="eastAsia" w:ascii="宋体" w:hAnsi="宋体" w:cs="宋体"/>
          <w:sz w:val="28"/>
          <w:szCs w:val="28"/>
          <w:highlight w:val="none"/>
          <w:u w:val="single"/>
        </w:rPr>
      </w:pPr>
      <w:bookmarkStart w:id="0" w:name="_Toc109543216"/>
      <w:bookmarkStart w:id="1" w:name="_Toc109542396"/>
      <w:r>
        <w:rPr>
          <w:rFonts w:hint="eastAsia" w:ascii="宋体" w:hAnsi="宋体" w:cs="宋体"/>
          <w:sz w:val="28"/>
          <w:szCs w:val="28"/>
          <w:highlight w:val="none"/>
        </w:rPr>
        <w:t xml:space="preserve">                                    合同编号：</w:t>
      </w:r>
      <w:bookmarkEnd w:id="0"/>
      <w:bookmarkEnd w:id="1"/>
      <w:r>
        <w:rPr>
          <w:rFonts w:hint="eastAsia" w:ascii="宋体" w:hAnsi="宋体" w:cs="宋体"/>
          <w:sz w:val="28"/>
          <w:szCs w:val="28"/>
          <w:highlight w:val="none"/>
          <w:u w:val="single"/>
        </w:rPr>
        <w:t xml:space="preserve">        </w:t>
      </w:r>
    </w:p>
    <w:p w14:paraId="6440DAA5">
      <w:pPr>
        <w:pStyle w:val="4"/>
        <w:spacing w:before="120" w:line="360" w:lineRule="auto"/>
        <w:ind w:firstLine="0"/>
        <w:rPr>
          <w:rFonts w:hint="eastAsia" w:ascii="宋体" w:hAnsi="宋体" w:cs="宋体"/>
          <w:sz w:val="28"/>
          <w:szCs w:val="28"/>
          <w:highlight w:val="none"/>
        </w:rPr>
      </w:pPr>
    </w:p>
    <w:p w14:paraId="05498EF5">
      <w:pPr>
        <w:spacing w:before="120" w:line="360" w:lineRule="auto"/>
        <w:rPr>
          <w:rFonts w:hint="eastAsia" w:ascii="宋体" w:hAnsi="宋体" w:cs="宋体"/>
          <w:sz w:val="28"/>
          <w:szCs w:val="28"/>
          <w:highlight w:val="none"/>
        </w:rPr>
      </w:pPr>
    </w:p>
    <w:p w14:paraId="67995642">
      <w:pPr>
        <w:spacing w:before="120" w:line="360" w:lineRule="auto"/>
        <w:rPr>
          <w:rFonts w:hint="eastAsia" w:ascii="宋体" w:hAnsi="宋体" w:cs="宋体"/>
          <w:sz w:val="28"/>
          <w:szCs w:val="28"/>
          <w:highlight w:val="none"/>
        </w:rPr>
      </w:pPr>
    </w:p>
    <w:p w14:paraId="4F87BEDD">
      <w:pPr>
        <w:spacing w:before="120" w:line="600" w:lineRule="auto"/>
        <w:ind w:firstLine="840" w:firstLineChars="300"/>
        <w:rPr>
          <w:rFonts w:hint="eastAsia" w:ascii="宋体" w:hAnsi="宋体" w:cs="宋体"/>
          <w:sz w:val="28"/>
          <w:szCs w:val="28"/>
          <w:highlight w:val="none"/>
          <w:u w:val="single"/>
        </w:rPr>
      </w:pPr>
      <w:r>
        <w:rPr>
          <w:rFonts w:hint="eastAsia" w:ascii="宋体" w:hAnsi="宋体" w:cs="宋体"/>
          <w:sz w:val="28"/>
          <w:szCs w:val="28"/>
          <w:highlight w:val="none"/>
        </w:rPr>
        <w:t>项 目 名 称：</w:t>
      </w:r>
      <w:r>
        <w:rPr>
          <w:rFonts w:hint="eastAsia" w:ascii="宋体" w:hAnsi="宋体" w:cs="宋体"/>
          <w:sz w:val="28"/>
          <w:szCs w:val="28"/>
          <w:highlight w:val="none"/>
          <w:u w:val="single"/>
        </w:rPr>
        <w:t xml:space="preserve">                                       </w:t>
      </w:r>
    </w:p>
    <w:p w14:paraId="075BEC22">
      <w:pPr>
        <w:spacing w:before="120" w:line="600" w:lineRule="auto"/>
        <w:ind w:firstLine="840" w:firstLineChars="300"/>
        <w:rPr>
          <w:rFonts w:hint="eastAsia" w:ascii="宋体" w:hAnsi="宋体" w:cs="宋体"/>
          <w:sz w:val="28"/>
          <w:szCs w:val="28"/>
          <w:highlight w:val="none"/>
          <w:u w:val="single"/>
        </w:rPr>
      </w:pPr>
      <w:r>
        <w:rPr>
          <w:rFonts w:hint="eastAsia" w:ascii="宋体" w:hAnsi="宋体" w:cs="宋体"/>
          <w:sz w:val="28"/>
          <w:szCs w:val="28"/>
          <w:highlight w:val="none"/>
        </w:rPr>
        <w:t xml:space="preserve">采  购  人： </w:t>
      </w:r>
      <w:r>
        <w:rPr>
          <w:rFonts w:hint="eastAsia" w:ascii="宋体" w:hAnsi="宋体" w:cs="宋体"/>
          <w:sz w:val="28"/>
          <w:szCs w:val="28"/>
          <w:highlight w:val="none"/>
          <w:u w:val="single"/>
        </w:rPr>
        <w:t xml:space="preserve">                                       </w:t>
      </w:r>
    </w:p>
    <w:p w14:paraId="1A84976E">
      <w:pPr>
        <w:spacing w:before="120" w:line="600" w:lineRule="auto"/>
        <w:ind w:firstLine="840" w:firstLineChars="300"/>
        <w:rPr>
          <w:rFonts w:hint="eastAsia" w:ascii="宋体" w:hAnsi="宋体" w:cs="宋体"/>
          <w:sz w:val="28"/>
          <w:szCs w:val="28"/>
          <w:highlight w:val="none"/>
          <w:u w:val="single"/>
        </w:rPr>
      </w:pPr>
      <w:r>
        <w:rPr>
          <w:rFonts w:hint="eastAsia" w:ascii="宋体" w:hAnsi="宋体" w:cs="宋体"/>
          <w:sz w:val="28"/>
          <w:szCs w:val="28"/>
          <w:highlight w:val="none"/>
        </w:rPr>
        <w:t xml:space="preserve">成交供应商： </w:t>
      </w:r>
      <w:r>
        <w:rPr>
          <w:rFonts w:hint="eastAsia" w:ascii="宋体" w:hAnsi="宋体" w:cs="宋体"/>
          <w:sz w:val="28"/>
          <w:szCs w:val="28"/>
          <w:highlight w:val="none"/>
          <w:u w:val="single"/>
        </w:rPr>
        <w:t xml:space="preserve">                                       </w:t>
      </w:r>
    </w:p>
    <w:p w14:paraId="4480A811">
      <w:pPr>
        <w:spacing w:before="120" w:line="600" w:lineRule="auto"/>
        <w:ind w:firstLine="840" w:firstLineChars="300"/>
        <w:rPr>
          <w:rFonts w:hint="eastAsia" w:ascii="宋体" w:hAnsi="宋体" w:cs="宋体"/>
          <w:sz w:val="28"/>
          <w:szCs w:val="28"/>
          <w:highlight w:val="none"/>
        </w:rPr>
      </w:pPr>
      <w:r>
        <w:rPr>
          <w:rFonts w:hint="eastAsia" w:ascii="宋体" w:hAnsi="宋体" w:cs="宋体"/>
          <w:sz w:val="28"/>
          <w:szCs w:val="28"/>
          <w:highlight w:val="none"/>
        </w:rPr>
        <w:t>签 署 日 期：</w:t>
      </w:r>
      <w:r>
        <w:rPr>
          <w:rFonts w:hint="eastAsia" w:ascii="宋体" w:hAnsi="宋体" w:cs="宋体"/>
          <w:sz w:val="28"/>
          <w:szCs w:val="28"/>
          <w:highlight w:val="none"/>
          <w:u w:val="single"/>
        </w:rPr>
        <w:t>　　　　　　　　　　　　　　　　　   　</w:t>
      </w:r>
    </w:p>
    <w:p w14:paraId="73847752">
      <w:pPr>
        <w:rPr>
          <w:rFonts w:hint="eastAsia" w:ascii="宋体" w:hAnsi="宋体" w:cs="宋体"/>
          <w:sz w:val="28"/>
          <w:szCs w:val="28"/>
          <w:highlight w:val="none"/>
        </w:rPr>
      </w:pPr>
    </w:p>
    <w:p w14:paraId="2B9DA519">
      <w:pPr>
        <w:rPr>
          <w:rFonts w:hint="eastAsia" w:ascii="宋体" w:hAnsi="宋体" w:cs="宋体"/>
          <w:sz w:val="28"/>
          <w:szCs w:val="28"/>
          <w:highlight w:val="none"/>
        </w:rPr>
      </w:pPr>
    </w:p>
    <w:p w14:paraId="6188EA8C">
      <w:pPr>
        <w:rPr>
          <w:rFonts w:hint="eastAsia" w:ascii="宋体" w:hAnsi="宋体" w:cs="宋体"/>
          <w:sz w:val="28"/>
          <w:szCs w:val="28"/>
          <w:highlight w:val="none"/>
        </w:rPr>
      </w:pPr>
    </w:p>
    <w:p w14:paraId="57F8F484">
      <w:pPr>
        <w:rPr>
          <w:rFonts w:hint="eastAsia" w:ascii="宋体" w:hAnsi="宋体" w:cs="宋体"/>
          <w:sz w:val="28"/>
          <w:szCs w:val="28"/>
          <w:highlight w:val="none"/>
        </w:rPr>
      </w:pPr>
    </w:p>
    <w:p w14:paraId="3C975128">
      <w:pPr>
        <w:pStyle w:val="9"/>
        <w:ind w:firstLine="560"/>
        <w:rPr>
          <w:rFonts w:hint="eastAsia" w:ascii="宋体" w:hAnsi="宋体" w:cs="宋体"/>
          <w:sz w:val="28"/>
          <w:szCs w:val="28"/>
          <w:highlight w:val="none"/>
        </w:rPr>
      </w:pPr>
    </w:p>
    <w:p w14:paraId="309A7241">
      <w:pPr>
        <w:spacing w:before="120" w:line="360" w:lineRule="auto"/>
        <w:jc w:val="center"/>
        <w:rPr>
          <w:rFonts w:hint="eastAsia" w:ascii="宋体" w:hAnsi="宋体" w:cs="宋体"/>
          <w:b/>
          <w:sz w:val="36"/>
          <w:szCs w:val="36"/>
          <w:highlight w:val="none"/>
        </w:rPr>
      </w:pPr>
      <w:r>
        <w:rPr>
          <w:rFonts w:hint="eastAsia" w:ascii="宋体" w:hAnsi="宋体" w:cs="宋体"/>
          <w:b/>
          <w:sz w:val="36"/>
          <w:szCs w:val="36"/>
          <w:highlight w:val="none"/>
        </w:rPr>
        <w:br w:type="page"/>
      </w:r>
      <w:r>
        <w:rPr>
          <w:rFonts w:hint="eastAsia" w:ascii="宋体" w:hAnsi="宋体" w:cs="宋体"/>
          <w:b/>
          <w:sz w:val="36"/>
          <w:szCs w:val="36"/>
          <w:highlight w:val="none"/>
        </w:rPr>
        <w:t>合　　同　　书</w:t>
      </w:r>
    </w:p>
    <w:p w14:paraId="4557DB49">
      <w:pPr>
        <w:pStyle w:val="6"/>
        <w:spacing w:line="360" w:lineRule="auto"/>
        <w:rPr>
          <w:rFonts w:hint="eastAsia" w:ascii="宋体" w:hAnsi="宋体" w:cs="宋体"/>
          <w:b/>
          <w:bCs/>
          <w:sz w:val="24"/>
          <w:highlight w:val="none"/>
        </w:rPr>
      </w:pPr>
      <w:r>
        <w:rPr>
          <w:rFonts w:hint="eastAsia" w:ascii="宋体" w:hAnsi="宋体" w:cs="宋体"/>
          <w:b/>
          <w:bCs/>
          <w:sz w:val="24"/>
          <w:highlight w:val="none"/>
        </w:rPr>
        <w:t xml:space="preserve">采购人（全称）：                                      </w:t>
      </w:r>
    </w:p>
    <w:p w14:paraId="61977BE5">
      <w:pPr>
        <w:pStyle w:val="6"/>
        <w:spacing w:line="360" w:lineRule="auto"/>
        <w:rPr>
          <w:rFonts w:hint="eastAsia" w:ascii="宋体" w:hAnsi="宋体" w:cs="宋体"/>
          <w:sz w:val="24"/>
          <w:highlight w:val="none"/>
        </w:rPr>
      </w:pPr>
      <w:r>
        <w:rPr>
          <w:rFonts w:hint="eastAsia" w:ascii="宋体" w:hAnsi="宋体" w:cs="宋体"/>
          <w:b/>
          <w:bCs/>
          <w:sz w:val="24"/>
          <w:highlight w:val="none"/>
        </w:rPr>
        <w:t xml:space="preserve">供应商（全称）： </w:t>
      </w:r>
      <w:r>
        <w:rPr>
          <w:rFonts w:hint="eastAsia" w:ascii="宋体" w:hAnsi="宋体" w:cs="宋体"/>
          <w:sz w:val="24"/>
          <w:highlight w:val="none"/>
        </w:rPr>
        <w:t xml:space="preserve">                                     </w:t>
      </w:r>
    </w:p>
    <w:p w14:paraId="121394B7">
      <w:pPr>
        <w:spacing w:before="120" w:beforeLines="50" w:line="360" w:lineRule="auto"/>
        <w:rPr>
          <w:rFonts w:ascii="宋体" w:hAnsi="宋体"/>
          <w:b/>
          <w:sz w:val="28"/>
          <w:szCs w:val="28"/>
          <w:highlight w:val="none"/>
        </w:rPr>
      </w:pPr>
      <w:r>
        <w:rPr>
          <w:rFonts w:hint="eastAsia" w:ascii="宋体" w:hAnsi="宋体"/>
          <w:b/>
          <w:sz w:val="28"/>
          <w:szCs w:val="28"/>
          <w:highlight w:val="none"/>
        </w:rPr>
        <w:t>一、交付条件：</w:t>
      </w:r>
    </w:p>
    <w:p w14:paraId="06CC9A6E">
      <w:pPr>
        <w:pStyle w:val="6"/>
        <w:spacing w:line="360" w:lineRule="auto"/>
        <w:ind w:firstLine="480" w:firstLineChars="200"/>
        <w:rPr>
          <w:rFonts w:hint="eastAsia" w:ascii="宋体" w:hAnsi="宋体" w:cs="宋体"/>
          <w:sz w:val="24"/>
          <w:highlight w:val="none"/>
        </w:rPr>
      </w:pPr>
      <w:r>
        <w:rPr>
          <w:rFonts w:hint="eastAsia" w:ascii="宋体" w:hAnsi="宋体" w:cs="宋体"/>
          <w:sz w:val="24"/>
          <w:highlight w:val="none"/>
        </w:rPr>
        <w:t>（一）交付地点：采购人指定地点。</w:t>
      </w:r>
    </w:p>
    <w:p w14:paraId="654CCC48">
      <w:pPr>
        <w:pStyle w:val="6"/>
        <w:spacing w:line="360" w:lineRule="auto"/>
        <w:ind w:firstLine="480" w:firstLineChars="200"/>
        <w:rPr>
          <w:rFonts w:ascii="宋体" w:hAnsi="宋体" w:cs="宋体"/>
          <w:sz w:val="24"/>
          <w:highlight w:val="none"/>
        </w:rPr>
      </w:pPr>
      <w:r>
        <w:rPr>
          <w:rFonts w:hint="eastAsia" w:ascii="宋体" w:hAnsi="宋体" w:cs="宋体"/>
          <w:sz w:val="24"/>
          <w:highlight w:val="none"/>
        </w:rPr>
        <w:t>（二）交付期：</w:t>
      </w:r>
      <w:r>
        <w:rPr>
          <w:rFonts w:hint="eastAsia" w:ascii="宋体" w:hAnsi="宋体" w:cs="宋体"/>
          <w:sz w:val="24"/>
          <w:highlight w:val="none"/>
          <w:u w:val="single"/>
        </w:rPr>
        <w:t xml:space="preserve">                </w:t>
      </w:r>
      <w:r>
        <w:rPr>
          <w:rFonts w:hint="eastAsia" w:ascii="宋体" w:hAnsi="宋体" w:cs="宋体"/>
          <w:sz w:val="24"/>
          <w:highlight w:val="none"/>
        </w:rPr>
        <w:t>。</w:t>
      </w:r>
    </w:p>
    <w:p w14:paraId="2978622C">
      <w:pPr>
        <w:pStyle w:val="6"/>
        <w:spacing w:line="360" w:lineRule="auto"/>
        <w:rPr>
          <w:rFonts w:hint="eastAsia" w:ascii="宋体" w:hAnsi="宋体" w:cs="宋体"/>
          <w:b/>
          <w:bCs/>
          <w:szCs w:val="28"/>
          <w:highlight w:val="none"/>
        </w:rPr>
      </w:pPr>
      <w:r>
        <w:rPr>
          <w:rFonts w:hint="eastAsia" w:ascii="宋体" w:hAnsi="宋体" w:cs="宋体"/>
          <w:b/>
          <w:bCs/>
          <w:szCs w:val="28"/>
          <w:highlight w:val="none"/>
        </w:rPr>
        <w:t>二、合同价款</w:t>
      </w:r>
    </w:p>
    <w:p w14:paraId="0F19C45D">
      <w:pPr>
        <w:pStyle w:val="6"/>
        <w:spacing w:line="360" w:lineRule="auto"/>
        <w:ind w:firstLine="480" w:firstLineChars="200"/>
        <w:rPr>
          <w:rFonts w:hint="eastAsia" w:ascii="宋体" w:hAnsi="宋体" w:cs="宋体"/>
          <w:sz w:val="24"/>
          <w:highlight w:val="none"/>
        </w:rPr>
      </w:pPr>
      <w:r>
        <w:rPr>
          <w:rFonts w:hint="eastAsia" w:ascii="宋体" w:hAnsi="宋体" w:cs="宋体"/>
          <w:sz w:val="24"/>
          <w:highlight w:val="none"/>
        </w:rPr>
        <w:t>（一）合同总价包括：</w:t>
      </w:r>
      <w:r>
        <w:rPr>
          <w:rFonts w:hint="eastAsia" w:ascii="宋体" w:hAnsi="宋体" w:cs="宋体"/>
          <w:sz w:val="24"/>
          <w:highlight w:val="none"/>
          <w:u w:val="single"/>
        </w:rPr>
        <w:t xml:space="preserve">            </w:t>
      </w:r>
      <w:r>
        <w:rPr>
          <w:rFonts w:hint="eastAsia" w:ascii="宋体" w:hAnsi="宋体" w:cs="宋体"/>
          <w:sz w:val="24"/>
          <w:highlight w:val="none"/>
        </w:rPr>
        <w:t>。</w:t>
      </w:r>
    </w:p>
    <w:p w14:paraId="5664DEC5">
      <w:pPr>
        <w:pStyle w:val="6"/>
        <w:spacing w:line="360" w:lineRule="auto"/>
        <w:ind w:firstLine="480" w:firstLineChars="200"/>
        <w:rPr>
          <w:rFonts w:hint="eastAsia" w:ascii="宋体" w:hAnsi="宋体" w:cs="宋体"/>
          <w:sz w:val="24"/>
          <w:highlight w:val="none"/>
        </w:rPr>
      </w:pPr>
      <w:r>
        <w:rPr>
          <w:rFonts w:hint="eastAsia" w:ascii="宋体" w:hAnsi="宋体" w:cs="宋体"/>
          <w:sz w:val="24"/>
          <w:highlight w:val="none"/>
        </w:rPr>
        <w:t>（二）合同总价按实际安装调试完成的数量，不受市场价格变化因素的影响。</w:t>
      </w:r>
    </w:p>
    <w:p w14:paraId="57DA2117">
      <w:pPr>
        <w:pStyle w:val="6"/>
        <w:spacing w:line="360" w:lineRule="auto"/>
        <w:rPr>
          <w:rFonts w:hint="eastAsia" w:ascii="宋体" w:hAnsi="宋体" w:cs="宋体"/>
          <w:b/>
          <w:bCs/>
          <w:szCs w:val="28"/>
          <w:highlight w:val="none"/>
        </w:rPr>
      </w:pPr>
      <w:r>
        <w:rPr>
          <w:rFonts w:hint="eastAsia" w:ascii="宋体" w:hAnsi="宋体" w:cs="宋体"/>
          <w:b/>
          <w:bCs/>
          <w:szCs w:val="28"/>
          <w:highlight w:val="none"/>
        </w:rPr>
        <w:t>三、款项结算</w:t>
      </w:r>
    </w:p>
    <w:p w14:paraId="062AEC24">
      <w:pPr>
        <w:pStyle w:val="5"/>
        <w:ind w:firstLine="480" w:firstLineChars="200"/>
        <w:rPr>
          <w:rFonts w:hint="default" w:eastAsia="宋体"/>
          <w:strike w:val="0"/>
          <w:dstrike w:val="0"/>
          <w:color w:val="auto"/>
          <w:highlight w:val="none"/>
          <w:lang w:val="en-US" w:eastAsia="zh-CN"/>
        </w:rPr>
      </w:pPr>
      <w:r>
        <w:rPr>
          <w:rFonts w:hint="eastAsia"/>
          <w:color w:val="auto"/>
          <w:highlight w:val="none"/>
          <w:lang w:val="en-US" w:eastAsia="zh-CN"/>
        </w:rPr>
        <w:t>合同签订完毕后支付总款项的</w:t>
      </w:r>
      <w:r>
        <w:rPr>
          <w:rFonts w:hint="eastAsia"/>
          <w:color w:val="auto"/>
          <w:highlight w:val="none"/>
          <w:u w:val="single"/>
          <w:lang w:val="en-US" w:eastAsia="zh-CN"/>
        </w:rPr>
        <w:t xml:space="preserve">   </w:t>
      </w:r>
      <w:r>
        <w:rPr>
          <w:rFonts w:hint="eastAsia"/>
          <w:color w:val="auto"/>
          <w:highlight w:val="none"/>
          <w:lang w:val="en-US" w:eastAsia="zh-CN"/>
        </w:rPr>
        <w:t xml:space="preserve">%， </w:t>
      </w:r>
      <w:r>
        <w:rPr>
          <w:rFonts w:hint="eastAsia"/>
          <w:strike w:val="0"/>
          <w:dstrike w:val="0"/>
          <w:color w:val="auto"/>
          <w:highlight w:val="none"/>
          <w:lang w:val="en-US" w:eastAsia="zh-CN"/>
        </w:rPr>
        <w:t>经验收合格的于2025年12月31日前支付总款项的</w:t>
      </w:r>
      <w:r>
        <w:rPr>
          <w:rFonts w:hint="eastAsia"/>
          <w:strike w:val="0"/>
          <w:dstrike w:val="0"/>
          <w:color w:val="auto"/>
          <w:highlight w:val="none"/>
          <w:u w:val="single"/>
          <w:lang w:val="en-US" w:eastAsia="zh-CN"/>
        </w:rPr>
        <w:t xml:space="preserve">   </w:t>
      </w:r>
      <w:r>
        <w:rPr>
          <w:rFonts w:hint="eastAsia"/>
          <w:strike w:val="0"/>
          <w:dstrike w:val="0"/>
          <w:color w:val="auto"/>
          <w:highlight w:val="none"/>
          <w:lang w:val="en-US" w:eastAsia="zh-CN"/>
        </w:rPr>
        <w:t>%。</w:t>
      </w:r>
      <w:bookmarkStart w:id="2" w:name="_GoBack"/>
      <w:bookmarkEnd w:id="2"/>
    </w:p>
    <w:p w14:paraId="7AA64528">
      <w:pPr>
        <w:pStyle w:val="6"/>
        <w:spacing w:line="360" w:lineRule="auto"/>
        <w:rPr>
          <w:rFonts w:hint="eastAsia" w:ascii="宋体" w:hAnsi="宋体" w:cs="宋体"/>
          <w:b/>
          <w:bCs/>
          <w:szCs w:val="28"/>
          <w:highlight w:val="none"/>
        </w:rPr>
      </w:pPr>
      <w:r>
        <w:rPr>
          <w:rFonts w:hint="eastAsia" w:ascii="宋体" w:hAnsi="宋体" w:cs="宋体"/>
          <w:b/>
          <w:bCs/>
          <w:szCs w:val="28"/>
          <w:highlight w:val="none"/>
        </w:rPr>
        <w:t>四、质量保证</w:t>
      </w:r>
    </w:p>
    <w:p w14:paraId="17B433CA">
      <w:pPr>
        <w:pStyle w:val="6"/>
        <w:spacing w:line="360" w:lineRule="auto"/>
        <w:ind w:firstLine="480" w:firstLineChars="200"/>
        <w:rPr>
          <w:rFonts w:hint="eastAsia" w:ascii="宋体" w:hAnsi="宋体" w:cs="宋体"/>
          <w:sz w:val="24"/>
          <w:highlight w:val="none"/>
        </w:rPr>
      </w:pPr>
      <w:r>
        <w:rPr>
          <w:rFonts w:hint="eastAsia" w:ascii="宋体" w:hAnsi="宋体" w:cs="宋体"/>
          <w:sz w:val="24"/>
          <w:highlight w:val="none"/>
        </w:rPr>
        <w:t>（一）保证所供软硬件的设计、功能、性能及产品测试等，均应按国内外通行的现行标准和相应的技术规范执行，这些标准和技术规范应为合同签订日为止最新公布发行的标准和技术规范。</w:t>
      </w:r>
    </w:p>
    <w:p w14:paraId="5A7E2126">
      <w:pPr>
        <w:pStyle w:val="6"/>
        <w:spacing w:line="360" w:lineRule="auto"/>
        <w:ind w:firstLine="480" w:firstLineChars="200"/>
        <w:rPr>
          <w:rFonts w:hint="eastAsia" w:ascii="宋体" w:hAnsi="宋体" w:cs="宋体"/>
          <w:sz w:val="24"/>
          <w:highlight w:val="none"/>
        </w:rPr>
      </w:pPr>
      <w:r>
        <w:rPr>
          <w:rFonts w:hint="eastAsia" w:ascii="宋体" w:hAnsi="宋体" w:cs="宋体"/>
          <w:sz w:val="24"/>
          <w:highlight w:val="none"/>
        </w:rPr>
        <w:t>（二）保证所供软硬件能按期交付。</w:t>
      </w:r>
    </w:p>
    <w:p w14:paraId="637CD1CE">
      <w:pPr>
        <w:pStyle w:val="6"/>
        <w:spacing w:line="360" w:lineRule="auto"/>
        <w:ind w:firstLine="480" w:firstLineChars="200"/>
        <w:rPr>
          <w:rFonts w:hint="eastAsia" w:ascii="宋体" w:hAnsi="宋体" w:cs="宋体"/>
          <w:sz w:val="24"/>
          <w:highlight w:val="none"/>
        </w:rPr>
      </w:pPr>
      <w:r>
        <w:rPr>
          <w:rFonts w:hint="eastAsia" w:ascii="宋体" w:hAnsi="宋体" w:cs="宋体"/>
          <w:sz w:val="24"/>
          <w:highlight w:val="none"/>
        </w:rPr>
        <w:t>（三）保证所供硬件进货渠道正规，无假货、水货或翻新货，并能按期交付。</w:t>
      </w:r>
    </w:p>
    <w:p w14:paraId="51808490">
      <w:pPr>
        <w:pStyle w:val="6"/>
        <w:spacing w:line="360" w:lineRule="auto"/>
        <w:ind w:firstLine="480" w:firstLineChars="200"/>
        <w:rPr>
          <w:rFonts w:hint="eastAsia" w:ascii="宋体" w:hAnsi="宋体" w:cs="宋体"/>
          <w:sz w:val="24"/>
          <w:highlight w:val="none"/>
        </w:rPr>
      </w:pPr>
      <w:r>
        <w:rPr>
          <w:rFonts w:hint="eastAsia" w:ascii="宋体" w:hAnsi="宋体" w:cs="宋体"/>
          <w:sz w:val="24"/>
          <w:highlight w:val="none"/>
        </w:rPr>
        <w:t>（四）保证所供硬件在装卸、运输和仓储过程中有足够的包装保护，防止硬件受潮、锈蚀、遭受冲撞及其他不可预见的损坏。</w:t>
      </w:r>
    </w:p>
    <w:p w14:paraId="2E9DED4D">
      <w:pPr>
        <w:pStyle w:val="6"/>
        <w:spacing w:line="360" w:lineRule="auto"/>
        <w:ind w:firstLine="480" w:firstLineChars="200"/>
        <w:rPr>
          <w:rFonts w:hint="eastAsia" w:ascii="宋体" w:hAnsi="宋体" w:eastAsia="宋体" w:cs="宋体"/>
          <w:sz w:val="24"/>
          <w:highlight w:val="none"/>
          <w:lang w:val="en-US" w:eastAsia="zh-CN"/>
        </w:rPr>
      </w:pPr>
      <w:r>
        <w:rPr>
          <w:rFonts w:hint="eastAsia" w:ascii="宋体" w:hAnsi="宋体" w:cs="宋体"/>
          <w:sz w:val="24"/>
          <w:highlight w:val="none"/>
        </w:rPr>
        <w:t>（五）中标服务商所供产品因侵权而产生的一切后果由中标服务商负责，采购人保留索赔权力。</w:t>
      </w:r>
      <w:r>
        <w:rPr>
          <w:rFonts w:hint="eastAsia" w:ascii="宋体" w:hAnsi="宋体" w:eastAsia="宋体" w:cs="宋体"/>
          <w:sz w:val="24"/>
          <w:highlight w:val="none"/>
          <w:lang w:val="en-US" w:eastAsia="zh-CN"/>
        </w:rPr>
        <w:t xml:space="preserve">采购人因此涉诉或承担赔偿责任的，一切经济损失由中标服务商承担，包括但不限于赔偿金、罚款、律师费、诉讼保全费、差旅费等费用。 </w:t>
      </w:r>
    </w:p>
    <w:p w14:paraId="4BC5B66F">
      <w:pPr>
        <w:pStyle w:val="6"/>
        <w:spacing w:line="360" w:lineRule="auto"/>
        <w:ind w:firstLine="480" w:firstLineChars="200"/>
        <w:rPr>
          <w:rFonts w:hint="eastAsia" w:ascii="宋体" w:hAnsi="宋体" w:cs="宋体"/>
          <w:sz w:val="24"/>
          <w:highlight w:val="none"/>
        </w:rPr>
      </w:pPr>
      <w:r>
        <w:rPr>
          <w:rFonts w:hint="eastAsia" w:ascii="宋体" w:hAnsi="宋体" w:cs="宋体"/>
          <w:sz w:val="24"/>
          <w:highlight w:val="none"/>
        </w:rPr>
        <w:t>（六）运维方案和方式科学、可行，人员配置合理，全面满足要求。</w:t>
      </w:r>
    </w:p>
    <w:p w14:paraId="2D964BD1">
      <w:pPr>
        <w:pStyle w:val="6"/>
        <w:spacing w:line="360" w:lineRule="auto"/>
        <w:ind w:firstLine="480" w:firstLineChars="200"/>
        <w:rPr>
          <w:rFonts w:hint="eastAsia" w:ascii="宋体" w:hAnsi="宋体" w:cs="宋体"/>
          <w:sz w:val="24"/>
          <w:highlight w:val="none"/>
        </w:rPr>
      </w:pPr>
      <w:r>
        <w:rPr>
          <w:rFonts w:hint="eastAsia" w:ascii="宋体" w:hAnsi="宋体" w:cs="宋体"/>
          <w:sz w:val="24"/>
          <w:highlight w:val="none"/>
        </w:rPr>
        <w:t>（七）符合国家有关服务规范要求，确保各项系统达到最佳运行状态。</w:t>
      </w:r>
    </w:p>
    <w:p w14:paraId="42B76EEF">
      <w:pPr>
        <w:pStyle w:val="6"/>
        <w:spacing w:line="360" w:lineRule="auto"/>
        <w:rPr>
          <w:rFonts w:hint="eastAsia" w:ascii="宋体" w:hAnsi="宋体" w:cs="宋体"/>
          <w:b/>
          <w:bCs/>
          <w:szCs w:val="28"/>
          <w:highlight w:val="none"/>
        </w:rPr>
      </w:pPr>
      <w:r>
        <w:rPr>
          <w:rFonts w:hint="eastAsia" w:ascii="宋体" w:hAnsi="宋体" w:cs="宋体"/>
          <w:b/>
          <w:bCs/>
          <w:szCs w:val="28"/>
          <w:highlight w:val="none"/>
        </w:rPr>
        <w:t>五、包装和储运</w:t>
      </w:r>
    </w:p>
    <w:p w14:paraId="797FE13F">
      <w:pPr>
        <w:pStyle w:val="6"/>
        <w:spacing w:line="360" w:lineRule="auto"/>
        <w:ind w:firstLine="480" w:firstLineChars="200"/>
        <w:rPr>
          <w:rFonts w:hint="eastAsia" w:ascii="宋体" w:hAnsi="宋体" w:cs="宋体"/>
          <w:sz w:val="24"/>
          <w:highlight w:val="none"/>
        </w:rPr>
      </w:pPr>
      <w:r>
        <w:rPr>
          <w:rFonts w:hint="eastAsia" w:ascii="宋体" w:hAnsi="宋体" w:cs="宋体"/>
          <w:sz w:val="24"/>
          <w:highlight w:val="none"/>
        </w:rPr>
        <w:t>（一）硬件及其备附件的包装应为出厂时的原包装，包装内应附有详细的装箱清单、出厂合格证明及其他相关资料。</w:t>
      </w:r>
    </w:p>
    <w:p w14:paraId="70AD808B">
      <w:pPr>
        <w:pStyle w:val="6"/>
        <w:spacing w:line="360" w:lineRule="auto"/>
        <w:ind w:firstLine="480" w:firstLineChars="200"/>
        <w:rPr>
          <w:rFonts w:hint="eastAsia" w:ascii="宋体" w:hAnsi="宋体" w:cs="宋体"/>
          <w:sz w:val="24"/>
          <w:highlight w:val="none"/>
        </w:rPr>
      </w:pPr>
      <w:r>
        <w:rPr>
          <w:rFonts w:hint="eastAsia" w:ascii="宋体" w:hAnsi="宋体" w:cs="宋体"/>
          <w:sz w:val="24"/>
          <w:highlight w:val="none"/>
        </w:rPr>
        <w:t>（二）运输由中标服务商负责，运杂费已包含在合同总价内，包括从硬件供应地点运送至交付地点所含的运输费、装卸费、仓储费、保险费等。</w:t>
      </w:r>
    </w:p>
    <w:p w14:paraId="5E1CD843">
      <w:pPr>
        <w:pStyle w:val="6"/>
        <w:spacing w:line="360" w:lineRule="auto"/>
        <w:ind w:firstLine="480" w:firstLineChars="200"/>
        <w:rPr>
          <w:rFonts w:hint="eastAsia" w:ascii="宋体" w:hAnsi="宋体" w:cs="宋体"/>
          <w:sz w:val="24"/>
          <w:highlight w:val="none"/>
        </w:rPr>
      </w:pPr>
      <w:r>
        <w:rPr>
          <w:rFonts w:hint="eastAsia" w:ascii="宋体" w:hAnsi="宋体" w:cs="宋体"/>
          <w:sz w:val="24"/>
          <w:highlight w:val="none"/>
        </w:rPr>
        <w:t>（三）运输方式由中标服务商自行选择，但必须保证按期交付。</w:t>
      </w:r>
    </w:p>
    <w:p w14:paraId="25475E26">
      <w:pPr>
        <w:pStyle w:val="6"/>
        <w:spacing w:line="360" w:lineRule="auto"/>
        <w:ind w:firstLine="480" w:firstLineChars="200"/>
        <w:rPr>
          <w:rFonts w:hint="eastAsia" w:ascii="宋体" w:hAnsi="宋体" w:cs="宋体"/>
          <w:sz w:val="24"/>
          <w:highlight w:val="none"/>
        </w:rPr>
      </w:pPr>
      <w:r>
        <w:rPr>
          <w:rFonts w:hint="eastAsia" w:ascii="宋体" w:hAnsi="宋体" w:cs="宋体"/>
          <w:sz w:val="24"/>
          <w:highlight w:val="none"/>
        </w:rPr>
        <w:t>（四）硬件及其备附件到达采购人指定地点后，中标服务商应按有关技术规程和采购人要求进行存放和保管。</w:t>
      </w:r>
    </w:p>
    <w:p w14:paraId="02110B8C">
      <w:pPr>
        <w:pStyle w:val="6"/>
        <w:spacing w:line="360" w:lineRule="auto"/>
        <w:rPr>
          <w:rFonts w:hint="eastAsia" w:ascii="宋体" w:hAnsi="宋体" w:cs="宋体"/>
          <w:b/>
          <w:bCs/>
          <w:szCs w:val="28"/>
          <w:highlight w:val="none"/>
        </w:rPr>
      </w:pPr>
      <w:r>
        <w:rPr>
          <w:rFonts w:hint="eastAsia" w:ascii="宋体" w:hAnsi="宋体" w:cs="宋体"/>
          <w:b/>
          <w:bCs/>
          <w:szCs w:val="28"/>
          <w:highlight w:val="none"/>
        </w:rPr>
        <w:t>六、安装、调试和验收</w:t>
      </w:r>
    </w:p>
    <w:p w14:paraId="64D0D155">
      <w:pPr>
        <w:pStyle w:val="6"/>
        <w:spacing w:line="360" w:lineRule="auto"/>
        <w:ind w:firstLine="480" w:firstLineChars="200"/>
        <w:rPr>
          <w:rFonts w:hint="eastAsia" w:ascii="宋体" w:hAnsi="宋体" w:cs="宋体"/>
          <w:sz w:val="24"/>
          <w:highlight w:val="none"/>
        </w:rPr>
      </w:pPr>
      <w:r>
        <w:rPr>
          <w:rFonts w:hint="eastAsia" w:ascii="宋体" w:hAnsi="宋体" w:cs="宋体"/>
          <w:sz w:val="24"/>
          <w:highlight w:val="none"/>
        </w:rPr>
        <w:t>（一）安装调试：中标服务商应配合采购人的时限要求，负责在现场对软硬件进行安装、调试和试运行，直至验收合格。中标服务商应提供全部安装、调试过程中所需的资料。试运行应当在采购人的监督下进行。</w:t>
      </w:r>
    </w:p>
    <w:p w14:paraId="1BE6D137">
      <w:pPr>
        <w:pStyle w:val="6"/>
        <w:spacing w:line="360" w:lineRule="auto"/>
        <w:ind w:firstLine="480" w:firstLineChars="200"/>
        <w:rPr>
          <w:rFonts w:hint="eastAsia" w:ascii="宋体" w:hAnsi="宋体" w:cs="宋体"/>
          <w:sz w:val="24"/>
          <w:highlight w:val="none"/>
        </w:rPr>
      </w:pPr>
      <w:r>
        <w:rPr>
          <w:rFonts w:hint="eastAsia" w:ascii="宋体" w:hAnsi="宋体" w:cs="宋体"/>
          <w:sz w:val="24"/>
          <w:highlight w:val="none"/>
        </w:rPr>
        <w:t>（二）现场验收：软硬件安装后，采购人根据合同要求，在中标服务商和采购人相关负责人双方同时在场的情况下，进行技术指标、功能、模块验收。</w:t>
      </w:r>
    </w:p>
    <w:p w14:paraId="47C3CEE7">
      <w:pPr>
        <w:pStyle w:val="6"/>
        <w:spacing w:line="360" w:lineRule="auto"/>
        <w:ind w:firstLine="480" w:firstLineChars="200"/>
        <w:rPr>
          <w:rFonts w:hint="eastAsia" w:ascii="宋体" w:hAnsi="宋体" w:cs="宋体"/>
          <w:sz w:val="24"/>
          <w:highlight w:val="none"/>
        </w:rPr>
      </w:pPr>
      <w:r>
        <w:rPr>
          <w:rFonts w:hint="eastAsia" w:ascii="宋体" w:hAnsi="宋体" w:cs="宋体"/>
          <w:sz w:val="24"/>
          <w:highlight w:val="none"/>
        </w:rPr>
        <w:t>（三）最终验收：软硬件安装调试和运行后，由中标服务商向采购人递交安装调试记录和竣工通知书，经采购人确认后，组织中标服务商进行系统验收；维保期满后，采购人根据招标文件和投标文件及相关文件，进行验收，确认服务标准和服务方式是否达到采购要求；必要时采购人可委托具有相关资质的第三方检测机构/技术专家对产品进行平台验收，需要国家法定检验部门进行检验或验收的由中标服务商负责联系。验收合格后，填写政府采购项目验收单（一式伍份）作为对软硬件的最终认可。</w:t>
      </w:r>
    </w:p>
    <w:p w14:paraId="00DF77F6">
      <w:pPr>
        <w:pStyle w:val="6"/>
        <w:spacing w:line="360" w:lineRule="auto"/>
        <w:ind w:firstLine="480" w:firstLineChars="200"/>
        <w:rPr>
          <w:rFonts w:hint="eastAsia" w:ascii="宋体" w:hAnsi="宋体" w:cs="宋体"/>
          <w:sz w:val="24"/>
          <w:highlight w:val="none"/>
        </w:rPr>
      </w:pPr>
      <w:r>
        <w:rPr>
          <w:rFonts w:hint="eastAsia" w:ascii="宋体" w:hAnsi="宋体" w:cs="宋体"/>
          <w:sz w:val="24"/>
          <w:highlight w:val="none"/>
        </w:rPr>
        <w:t>（四）验收依据</w:t>
      </w:r>
    </w:p>
    <w:p w14:paraId="6D99A862">
      <w:pPr>
        <w:pStyle w:val="6"/>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1、招标文件、投标文件、澄清表（函）；</w:t>
      </w:r>
    </w:p>
    <w:p w14:paraId="682534A6">
      <w:pPr>
        <w:pStyle w:val="6"/>
        <w:spacing w:line="360" w:lineRule="auto"/>
        <w:ind w:firstLine="480" w:firstLineChars="200"/>
        <w:rPr>
          <w:rFonts w:hint="eastAsia" w:ascii="宋体" w:hAnsi="宋体" w:cs="宋体"/>
          <w:sz w:val="24"/>
          <w:highlight w:val="none"/>
        </w:rPr>
      </w:pPr>
      <w:r>
        <w:rPr>
          <w:rFonts w:hint="eastAsia" w:ascii="宋体" w:hAnsi="宋体" w:cs="宋体"/>
          <w:sz w:val="24"/>
          <w:highlight w:val="none"/>
        </w:rPr>
        <w:t>2、本合同及附件文本；</w:t>
      </w:r>
    </w:p>
    <w:p w14:paraId="445E80CE">
      <w:pPr>
        <w:pStyle w:val="6"/>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3、合同签订时国家及行业现行的标准和技术规范。</w:t>
      </w:r>
    </w:p>
    <w:p w14:paraId="5D471411">
      <w:pPr>
        <w:pStyle w:val="6"/>
        <w:spacing w:line="360" w:lineRule="auto"/>
        <w:ind w:firstLine="480" w:firstLineChars="200"/>
        <w:rPr>
          <w:rFonts w:hint="eastAsia" w:ascii="宋体" w:hAnsi="宋体" w:cs="宋体"/>
          <w:sz w:val="24"/>
          <w:highlight w:val="none"/>
        </w:rPr>
      </w:pPr>
      <w:r>
        <w:rPr>
          <w:rFonts w:hint="eastAsia" w:ascii="宋体" w:hAnsi="宋体" w:cs="宋体"/>
          <w:sz w:val="24"/>
          <w:highlight w:val="none"/>
        </w:rPr>
        <w:t>（五）中标服务商应向采购人提交项目实施过程中的所有资料，以便采购人日后管理和维护。</w:t>
      </w:r>
    </w:p>
    <w:p w14:paraId="5FAF7C21">
      <w:pPr>
        <w:pStyle w:val="6"/>
        <w:spacing w:line="360" w:lineRule="auto"/>
        <w:ind w:firstLine="480" w:firstLineChars="200"/>
        <w:rPr>
          <w:rFonts w:hint="eastAsia" w:ascii="宋体" w:hAnsi="宋体" w:cs="宋体"/>
          <w:sz w:val="24"/>
          <w:highlight w:val="none"/>
        </w:rPr>
      </w:pPr>
      <w:r>
        <w:rPr>
          <w:rFonts w:hint="eastAsia" w:ascii="宋体" w:hAnsi="宋体" w:cs="宋体"/>
          <w:sz w:val="24"/>
          <w:highlight w:val="none"/>
        </w:rPr>
        <w:t>（六）在得到中标服务商验收要求通知后，采购人应积极准备验收，验收合格后出具验收报告。</w:t>
      </w:r>
    </w:p>
    <w:p w14:paraId="6C46BE17">
      <w:pPr>
        <w:pStyle w:val="6"/>
        <w:spacing w:line="360" w:lineRule="auto"/>
        <w:rPr>
          <w:rFonts w:hint="eastAsia" w:ascii="宋体" w:hAnsi="宋体" w:cs="宋体"/>
          <w:b/>
          <w:bCs/>
          <w:szCs w:val="28"/>
          <w:highlight w:val="none"/>
        </w:rPr>
      </w:pPr>
      <w:r>
        <w:rPr>
          <w:rFonts w:hint="eastAsia" w:ascii="宋体" w:hAnsi="宋体" w:cs="宋体"/>
          <w:b/>
          <w:bCs/>
          <w:szCs w:val="28"/>
          <w:highlight w:val="none"/>
        </w:rPr>
        <w:t>七、售后服务</w:t>
      </w:r>
    </w:p>
    <w:p w14:paraId="337AA8B2">
      <w:pPr>
        <w:pStyle w:val="6"/>
        <w:spacing w:line="360" w:lineRule="auto"/>
        <w:ind w:firstLine="480" w:firstLineChars="200"/>
        <w:rPr>
          <w:rFonts w:hint="eastAsia" w:ascii="宋体" w:hAnsi="宋体" w:cs="宋体"/>
          <w:sz w:val="24"/>
          <w:highlight w:val="none"/>
        </w:rPr>
      </w:pPr>
      <w:r>
        <w:rPr>
          <w:rFonts w:hint="eastAsia" w:ascii="宋体" w:hAnsi="宋体" w:cs="宋体"/>
          <w:sz w:val="24"/>
          <w:highlight w:val="none"/>
        </w:rPr>
        <w:t>质量保证期：硬件设备为自项目验收通过之日起一年保修；软件开发为项目验收通过之日起一年内维护和升级，若该质量保证期小于国家标准，则以国家标准为准。</w:t>
      </w:r>
    </w:p>
    <w:p w14:paraId="166CB096">
      <w:pPr>
        <w:pStyle w:val="6"/>
        <w:spacing w:line="360" w:lineRule="auto"/>
        <w:ind w:firstLine="480" w:firstLineChars="200"/>
        <w:rPr>
          <w:rFonts w:hint="eastAsia" w:ascii="宋体" w:hAnsi="宋体" w:cs="宋体"/>
          <w:sz w:val="24"/>
          <w:highlight w:val="none"/>
        </w:rPr>
      </w:pPr>
      <w:r>
        <w:rPr>
          <w:rFonts w:hint="eastAsia" w:ascii="宋体" w:hAnsi="宋体" w:cs="宋体"/>
          <w:sz w:val="24"/>
          <w:highlight w:val="none"/>
        </w:rPr>
        <w:t>（一）质保期内</w:t>
      </w:r>
    </w:p>
    <w:p w14:paraId="0FA90642">
      <w:pPr>
        <w:pStyle w:val="6"/>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凡正常使用中出现的故障，均由中标服务商负责提供免费检测维修、更换不合格的零部件直至整机（更换的零部件或整机应保证自更换之日起提供相同的质量保证期），若需返厂处理，中标服务商应承担相关费用。同时记录检修情况，并向采购人提供检修报告。</w:t>
      </w:r>
    </w:p>
    <w:p w14:paraId="34D0B4D1">
      <w:pPr>
        <w:pStyle w:val="6"/>
        <w:spacing w:line="360" w:lineRule="auto"/>
        <w:ind w:firstLine="480" w:firstLineChars="200"/>
        <w:rPr>
          <w:rFonts w:hint="eastAsia" w:ascii="宋体" w:hAnsi="宋体" w:cs="宋体"/>
          <w:sz w:val="24"/>
          <w:highlight w:val="none"/>
        </w:rPr>
      </w:pPr>
      <w:r>
        <w:rPr>
          <w:rFonts w:hint="eastAsia" w:ascii="宋体" w:hAnsi="宋体" w:cs="宋体"/>
          <w:sz w:val="24"/>
          <w:highlight w:val="none"/>
        </w:rPr>
        <w:t>2、负责软件、设备和系统的运行维护工作，持续提供系统优化方案和技术解决方案，保证设备和系统每天24小时正常工作。</w:t>
      </w:r>
    </w:p>
    <w:p w14:paraId="73C80DF0">
      <w:pPr>
        <w:pStyle w:val="6"/>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3、免费提供每周7×24小时不间断的电话支持服务，网络安全产品需提供至少1年病毒库更新服务，解答用户在使用过程中遇到的问题，及时提出解决问题的建议和对策。</w:t>
      </w:r>
    </w:p>
    <w:p w14:paraId="13D454B3">
      <w:pPr>
        <w:pStyle w:val="6"/>
        <w:spacing w:line="360" w:lineRule="auto"/>
        <w:ind w:firstLine="480" w:firstLineChars="200"/>
        <w:rPr>
          <w:rFonts w:hint="eastAsia" w:ascii="宋体" w:hAnsi="宋体" w:cs="宋体"/>
          <w:sz w:val="24"/>
          <w:highlight w:val="none"/>
        </w:rPr>
      </w:pPr>
      <w:r>
        <w:rPr>
          <w:rFonts w:hint="eastAsia" w:ascii="宋体" w:hAnsi="宋体" w:cs="宋体"/>
          <w:sz w:val="24"/>
          <w:highlight w:val="none"/>
        </w:rPr>
        <w:t>4、运维服务：7*24小时技术支持,10分钟内响应，2小时内达到现场，4小时内给出解决方案，12小时内解决故障；提供系统优化咨询、规划服务。</w:t>
      </w:r>
    </w:p>
    <w:p w14:paraId="580C08FF">
      <w:pPr>
        <w:pStyle w:val="6"/>
        <w:spacing w:line="360" w:lineRule="auto"/>
        <w:ind w:firstLine="480" w:firstLineChars="200"/>
        <w:rPr>
          <w:rFonts w:hint="eastAsia" w:ascii="宋体" w:hAnsi="宋体" w:cs="宋体"/>
          <w:sz w:val="24"/>
          <w:highlight w:val="none"/>
        </w:rPr>
      </w:pPr>
      <w:r>
        <w:rPr>
          <w:rFonts w:hint="eastAsia" w:ascii="宋体" w:hAnsi="宋体" w:cs="宋体"/>
          <w:sz w:val="24"/>
          <w:highlight w:val="none"/>
        </w:rPr>
        <w:t>5、定期派专业维修人员到现场走访，给予检查维护。并向采购人提供巡检单（一式两份，由双方签字确认），内容包含但不限于巡检时间、巡检内容、巡检结果。</w:t>
      </w:r>
    </w:p>
    <w:p w14:paraId="1CE599F1">
      <w:pPr>
        <w:pStyle w:val="6"/>
        <w:spacing w:line="360" w:lineRule="auto"/>
        <w:ind w:firstLine="480" w:firstLineChars="200"/>
        <w:rPr>
          <w:rFonts w:hint="eastAsia" w:ascii="宋体" w:hAnsi="宋体" w:cs="宋体"/>
          <w:sz w:val="24"/>
          <w:highlight w:val="none"/>
        </w:rPr>
      </w:pPr>
      <w:r>
        <w:rPr>
          <w:rFonts w:hint="eastAsia" w:ascii="宋体" w:hAnsi="宋体" w:cs="宋体"/>
          <w:sz w:val="24"/>
          <w:highlight w:val="none"/>
        </w:rPr>
        <w:t>6、款项结清前，对所供软硬件进行一次全面检测、保养和维护。</w:t>
      </w:r>
    </w:p>
    <w:p w14:paraId="453986EA">
      <w:pPr>
        <w:pStyle w:val="6"/>
        <w:spacing w:line="360" w:lineRule="auto"/>
        <w:ind w:firstLine="480" w:firstLineChars="200"/>
        <w:rPr>
          <w:rFonts w:hint="eastAsia" w:ascii="宋体" w:hAnsi="宋体" w:cs="宋体"/>
          <w:sz w:val="24"/>
          <w:highlight w:val="none"/>
        </w:rPr>
      </w:pPr>
      <w:r>
        <w:rPr>
          <w:rFonts w:hint="eastAsia" w:ascii="宋体" w:hAnsi="宋体" w:cs="宋体"/>
          <w:sz w:val="24"/>
          <w:highlight w:val="none"/>
        </w:rPr>
        <w:t>（二）质保期满后</w:t>
      </w:r>
    </w:p>
    <w:p w14:paraId="774F4CA2">
      <w:pPr>
        <w:pStyle w:val="6"/>
        <w:spacing w:line="360" w:lineRule="auto"/>
        <w:ind w:firstLine="480" w:firstLineChars="200"/>
        <w:rPr>
          <w:rFonts w:hint="eastAsia" w:ascii="宋体" w:hAnsi="宋体" w:cs="宋体"/>
          <w:sz w:val="24"/>
          <w:highlight w:val="none"/>
        </w:rPr>
      </w:pPr>
      <w:r>
        <w:rPr>
          <w:rFonts w:hint="eastAsia" w:ascii="宋体" w:hAnsi="宋体" w:cs="宋体"/>
          <w:sz w:val="24"/>
          <w:highlight w:val="none"/>
        </w:rPr>
        <w:t>中标服务商应保证以合理的价格提供维护和保养服务，当发生故障时，中标服务商应按质保期内相同的服务标准进行维护处理。</w:t>
      </w:r>
    </w:p>
    <w:p w14:paraId="5067F2E7">
      <w:pPr>
        <w:pStyle w:val="6"/>
        <w:spacing w:line="360" w:lineRule="auto"/>
        <w:ind w:firstLine="480" w:firstLineChars="200"/>
        <w:rPr>
          <w:rFonts w:hint="eastAsia" w:ascii="宋体" w:hAnsi="宋体" w:cs="宋体"/>
          <w:sz w:val="24"/>
          <w:highlight w:val="none"/>
        </w:rPr>
      </w:pPr>
      <w:r>
        <w:rPr>
          <w:rFonts w:hint="eastAsia" w:ascii="宋体" w:hAnsi="宋体" w:cs="宋体"/>
          <w:sz w:val="24"/>
          <w:highlight w:val="none"/>
        </w:rPr>
        <w:t>（三）人员培训</w:t>
      </w:r>
    </w:p>
    <w:p w14:paraId="3DFD1911">
      <w:pPr>
        <w:pStyle w:val="6"/>
        <w:spacing w:line="360" w:lineRule="auto"/>
        <w:ind w:firstLine="480" w:firstLineChars="200"/>
        <w:rPr>
          <w:rFonts w:hint="eastAsia" w:ascii="宋体" w:hAnsi="宋体" w:cs="宋体"/>
          <w:sz w:val="24"/>
          <w:highlight w:val="none"/>
        </w:rPr>
      </w:pPr>
      <w:r>
        <w:rPr>
          <w:rFonts w:hint="eastAsia" w:ascii="宋体" w:hAnsi="宋体" w:cs="宋体"/>
          <w:sz w:val="24"/>
          <w:highlight w:val="none"/>
        </w:rPr>
        <w:t>提供软硬件的现场培训，使采购人操作、维护人员（约2人）掌握操作使用、维护保养及其他必备知识。采购人要求派遣专业技术人员参与项目实施的，在项目整体实施及质保期内，随时向采购人技术人员讲解技术和实施方案。培训费用已包含在合同总价内。</w:t>
      </w:r>
    </w:p>
    <w:p w14:paraId="3FE258A4">
      <w:pPr>
        <w:pStyle w:val="6"/>
        <w:spacing w:line="360" w:lineRule="auto"/>
        <w:rPr>
          <w:rFonts w:hint="eastAsia" w:ascii="宋体" w:hAnsi="宋体" w:cs="宋体"/>
          <w:b/>
          <w:bCs/>
          <w:szCs w:val="28"/>
          <w:highlight w:val="none"/>
        </w:rPr>
      </w:pPr>
      <w:r>
        <w:rPr>
          <w:rFonts w:hint="eastAsia" w:ascii="宋体" w:hAnsi="宋体" w:cs="宋体"/>
          <w:b/>
          <w:bCs/>
          <w:szCs w:val="28"/>
          <w:highlight w:val="none"/>
        </w:rPr>
        <w:t>八、技术与服务</w:t>
      </w:r>
    </w:p>
    <w:p w14:paraId="3275A410">
      <w:pPr>
        <w:pStyle w:val="6"/>
        <w:spacing w:line="360" w:lineRule="auto"/>
        <w:ind w:firstLine="480" w:firstLineChars="200"/>
        <w:rPr>
          <w:rFonts w:hint="eastAsia" w:ascii="宋体" w:hAnsi="宋体" w:cs="宋体"/>
          <w:sz w:val="24"/>
          <w:highlight w:val="none"/>
        </w:rPr>
      </w:pPr>
      <w:r>
        <w:rPr>
          <w:rFonts w:hint="eastAsia" w:ascii="宋体" w:hAnsi="宋体" w:cs="宋体"/>
          <w:sz w:val="24"/>
          <w:highlight w:val="none"/>
        </w:rPr>
        <w:t>（一）技术资料</w:t>
      </w:r>
    </w:p>
    <w:p w14:paraId="1AD6A753">
      <w:pPr>
        <w:pStyle w:val="6"/>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1、需求报告、总体设计、详细设计报告及数据字典等技术文档；</w:t>
      </w:r>
    </w:p>
    <w:p w14:paraId="1C52FD26">
      <w:pPr>
        <w:pStyle w:val="6"/>
        <w:spacing w:line="360" w:lineRule="auto"/>
        <w:ind w:firstLine="480" w:firstLineChars="200"/>
        <w:rPr>
          <w:rFonts w:hint="eastAsia" w:ascii="宋体" w:hAnsi="宋体" w:cs="宋体"/>
          <w:sz w:val="24"/>
          <w:highlight w:val="none"/>
        </w:rPr>
      </w:pPr>
      <w:r>
        <w:rPr>
          <w:rFonts w:hint="eastAsia" w:ascii="宋体" w:hAnsi="宋体" w:cs="宋体"/>
          <w:sz w:val="24"/>
          <w:highlight w:val="none"/>
        </w:rPr>
        <w:t>2、技术/使用手册：</w:t>
      </w:r>
    </w:p>
    <w:p w14:paraId="19971034">
      <w:pPr>
        <w:pStyle w:val="6"/>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（1）系统维护手册</w:t>
      </w:r>
    </w:p>
    <w:p w14:paraId="5E140C63">
      <w:pPr>
        <w:pStyle w:val="6"/>
        <w:spacing w:line="360" w:lineRule="auto"/>
        <w:ind w:firstLine="480" w:firstLineChars="200"/>
        <w:rPr>
          <w:rFonts w:hint="eastAsia" w:ascii="宋体" w:hAnsi="宋体" w:cs="宋体"/>
          <w:sz w:val="24"/>
          <w:highlight w:val="none"/>
        </w:rPr>
      </w:pPr>
      <w:r>
        <w:rPr>
          <w:rFonts w:hint="eastAsia" w:ascii="宋体" w:hAnsi="宋体" w:cs="宋体"/>
          <w:sz w:val="24"/>
          <w:highlight w:val="none"/>
        </w:rPr>
        <w:t>（2）用户操作手册</w:t>
      </w:r>
    </w:p>
    <w:p w14:paraId="5A53300C">
      <w:pPr>
        <w:pStyle w:val="6"/>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（3）系统模块说明书</w:t>
      </w:r>
    </w:p>
    <w:p w14:paraId="6B9C3F48">
      <w:pPr>
        <w:pStyle w:val="6"/>
        <w:spacing w:line="360" w:lineRule="auto"/>
        <w:ind w:firstLine="480" w:firstLineChars="200"/>
        <w:rPr>
          <w:rFonts w:hint="eastAsia" w:ascii="宋体" w:hAnsi="宋体" w:cs="宋体"/>
          <w:sz w:val="24"/>
          <w:highlight w:val="none"/>
        </w:rPr>
      </w:pPr>
      <w:r>
        <w:rPr>
          <w:rFonts w:hint="eastAsia" w:ascii="宋体" w:hAnsi="宋体" w:cs="宋体"/>
          <w:sz w:val="24"/>
          <w:highlight w:val="none"/>
        </w:rPr>
        <w:t>（4）系统测试报告</w:t>
      </w:r>
    </w:p>
    <w:p w14:paraId="2D849A18">
      <w:pPr>
        <w:pStyle w:val="6"/>
        <w:spacing w:line="360" w:lineRule="auto"/>
        <w:ind w:firstLine="480" w:firstLineChars="200"/>
        <w:rPr>
          <w:rFonts w:hint="eastAsia" w:ascii="宋体" w:hAnsi="宋体" w:cs="宋体"/>
          <w:sz w:val="24"/>
          <w:highlight w:val="none"/>
        </w:rPr>
      </w:pPr>
      <w:r>
        <w:rPr>
          <w:rFonts w:hint="eastAsia" w:ascii="宋体" w:hAnsi="宋体" w:cs="宋体"/>
          <w:sz w:val="24"/>
          <w:highlight w:val="none"/>
        </w:rPr>
        <w:t>（5）系统实施报告</w:t>
      </w:r>
    </w:p>
    <w:p w14:paraId="6E9DC033">
      <w:pPr>
        <w:pStyle w:val="6"/>
        <w:spacing w:line="360" w:lineRule="auto"/>
        <w:ind w:firstLine="480" w:firstLineChars="200"/>
        <w:rPr>
          <w:rFonts w:hint="eastAsia" w:ascii="宋体" w:hAnsi="宋体" w:cs="宋体"/>
          <w:sz w:val="24"/>
          <w:highlight w:val="none"/>
        </w:rPr>
      </w:pPr>
      <w:r>
        <w:rPr>
          <w:rFonts w:hint="eastAsia" w:ascii="宋体" w:hAnsi="宋体" w:cs="宋体"/>
          <w:sz w:val="24"/>
          <w:highlight w:val="none"/>
        </w:rPr>
        <w:t>（6）需求变更说明书</w:t>
      </w:r>
    </w:p>
    <w:p w14:paraId="1398F4DF">
      <w:pPr>
        <w:pStyle w:val="6"/>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3、硬件合格证；</w:t>
      </w:r>
    </w:p>
    <w:p w14:paraId="26CE6561">
      <w:pPr>
        <w:pStyle w:val="6"/>
        <w:spacing w:line="360" w:lineRule="auto"/>
        <w:ind w:firstLine="480" w:firstLineChars="200"/>
        <w:rPr>
          <w:rFonts w:hint="eastAsia" w:ascii="宋体" w:hAnsi="宋体" w:cs="宋体"/>
          <w:sz w:val="24"/>
          <w:highlight w:val="none"/>
        </w:rPr>
      </w:pPr>
      <w:r>
        <w:rPr>
          <w:rFonts w:hint="eastAsia" w:ascii="宋体" w:hAnsi="宋体" w:cs="宋体"/>
          <w:sz w:val="24"/>
          <w:highlight w:val="none"/>
        </w:rPr>
        <w:t>4、其它资料。</w:t>
      </w:r>
    </w:p>
    <w:p w14:paraId="65E97150">
      <w:pPr>
        <w:pStyle w:val="6"/>
        <w:spacing w:line="360" w:lineRule="auto"/>
        <w:ind w:firstLine="480" w:firstLineChars="200"/>
        <w:rPr>
          <w:rFonts w:hint="eastAsia" w:ascii="宋体" w:hAnsi="宋体" w:cs="宋体"/>
          <w:sz w:val="24"/>
          <w:highlight w:val="none"/>
        </w:rPr>
      </w:pPr>
      <w:r>
        <w:rPr>
          <w:rFonts w:hint="eastAsia" w:ascii="宋体" w:hAnsi="宋体" w:cs="宋体"/>
          <w:sz w:val="24"/>
          <w:highlight w:val="none"/>
        </w:rPr>
        <w:t>（二）服务承诺</w:t>
      </w:r>
    </w:p>
    <w:p w14:paraId="21B28613">
      <w:pPr>
        <w:pStyle w:val="6"/>
        <w:spacing w:line="360" w:lineRule="auto"/>
        <w:ind w:firstLine="480" w:firstLineChars="200"/>
        <w:rPr>
          <w:rFonts w:hint="eastAsia" w:ascii="宋体" w:hAnsi="宋体" w:cs="宋体"/>
          <w:sz w:val="24"/>
          <w:highlight w:val="none"/>
        </w:rPr>
      </w:pPr>
      <w:r>
        <w:rPr>
          <w:rFonts w:hint="eastAsia" w:ascii="宋体" w:hAnsi="宋体" w:cs="宋体"/>
          <w:sz w:val="24"/>
          <w:highlight w:val="none"/>
        </w:rPr>
        <w:t>以投标文件、澄清表（函）、合同和随软硬件的相关文件为准。</w:t>
      </w:r>
    </w:p>
    <w:p w14:paraId="16CA9ACB">
      <w:pPr>
        <w:pStyle w:val="6"/>
        <w:spacing w:line="360" w:lineRule="auto"/>
        <w:rPr>
          <w:rFonts w:hint="eastAsia" w:ascii="宋体" w:hAnsi="宋体" w:cs="宋体"/>
          <w:b/>
          <w:bCs/>
          <w:szCs w:val="28"/>
          <w:highlight w:val="none"/>
        </w:rPr>
      </w:pPr>
      <w:r>
        <w:rPr>
          <w:rFonts w:hint="eastAsia" w:ascii="宋体" w:hAnsi="宋体" w:cs="宋体"/>
          <w:b/>
          <w:bCs/>
          <w:szCs w:val="28"/>
          <w:highlight w:val="none"/>
        </w:rPr>
        <w:t>九、违约责任</w:t>
      </w:r>
    </w:p>
    <w:p w14:paraId="0F9A0325">
      <w:pPr>
        <w:pStyle w:val="5"/>
        <w:rPr>
          <w:rFonts w:hint="eastAsia" w:ascii="宋体" w:hAnsi="宋体" w:cs="宋体"/>
          <w:sz w:val="24"/>
          <w:highlight w:val="none"/>
        </w:rPr>
      </w:pPr>
      <w:r>
        <w:rPr>
          <w:rFonts w:hint="eastAsia" w:ascii="宋体" w:hAnsi="宋体" w:cs="宋体"/>
          <w:sz w:val="24"/>
          <w:highlight w:val="none"/>
        </w:rPr>
        <w:t>（一）如中标服务商事先未征得采购人书面同意而单方面延迟完成项目的，每逾期一日按照合同总额的万分之五承担违约责任；中标服务商逾期累计15天以上的，采购人有权解除合同,</w:t>
      </w:r>
      <w:r>
        <w:rPr>
          <w:rFonts w:hint="eastAsia" w:ascii="宋体" w:hAnsi="宋体" w:eastAsia="宋体" w:cs="宋体"/>
          <w:sz w:val="24"/>
          <w:highlight w:val="none"/>
        </w:rPr>
        <w:t>并</w:t>
      </w:r>
      <w:r>
        <w:rPr>
          <w:rFonts w:hint="eastAsia" w:ascii="宋体" w:hAnsi="宋体" w:eastAsia="宋体" w:cs="宋体"/>
          <w:sz w:val="24"/>
          <w:highlight w:val="none"/>
          <w:lang w:val="en-US" w:eastAsia="zh-CN"/>
        </w:rPr>
        <w:t>要求中标服务商</w:t>
      </w:r>
      <w:r>
        <w:rPr>
          <w:rFonts w:hint="eastAsia" w:ascii="宋体" w:hAnsi="宋体" w:eastAsia="宋体" w:cs="宋体"/>
          <w:sz w:val="24"/>
          <w:highlight w:val="none"/>
        </w:rPr>
        <w:t>承担合同价款30%的违约金。</w:t>
      </w:r>
    </w:p>
    <w:p w14:paraId="05886E5D">
      <w:pPr>
        <w:pStyle w:val="6"/>
        <w:spacing w:line="360" w:lineRule="auto"/>
        <w:ind w:firstLine="480" w:firstLineChars="200"/>
        <w:rPr>
          <w:rFonts w:hint="eastAsia" w:ascii="宋体" w:hAnsi="宋体" w:cs="宋体"/>
          <w:sz w:val="24"/>
          <w:highlight w:val="none"/>
        </w:rPr>
      </w:pPr>
      <w:r>
        <w:rPr>
          <w:rFonts w:hint="eastAsia" w:ascii="宋体" w:hAnsi="宋体" w:cs="宋体"/>
          <w:sz w:val="24"/>
          <w:highlight w:val="none"/>
        </w:rPr>
        <w:t>（二）中标服务商所供主要硬件或软件不符合招标文件规定或不合格的或本项目不能通过验收的，采购人有权解除合同，同时采购人有权扣除质保金，并要</w:t>
      </w:r>
      <w:r>
        <w:rPr>
          <w:rFonts w:hint="eastAsia" w:ascii="宋体" w:hAnsi="宋体" w:eastAsia="宋体" w:cs="宋体"/>
          <w:kern w:val="0"/>
          <w:sz w:val="24"/>
          <w:szCs w:val="20"/>
          <w:highlight w:val="none"/>
          <w:lang w:val="en-US" w:eastAsia="zh-CN" w:bidi="ar-SA"/>
        </w:rPr>
        <w:t>求中标服务商承担合同价款30%的违约金。</w:t>
      </w:r>
    </w:p>
    <w:p w14:paraId="5A3D2A47">
      <w:pPr>
        <w:pStyle w:val="6"/>
        <w:spacing w:line="360" w:lineRule="auto"/>
        <w:ind w:firstLine="480" w:firstLineChars="200"/>
        <w:rPr>
          <w:rFonts w:hint="eastAsia" w:ascii="宋体" w:hAnsi="宋体" w:cs="宋体"/>
          <w:sz w:val="24"/>
          <w:highlight w:val="none"/>
        </w:rPr>
      </w:pPr>
      <w:r>
        <w:rPr>
          <w:rFonts w:hint="eastAsia" w:ascii="宋体" w:hAnsi="宋体" w:cs="宋体"/>
          <w:sz w:val="24"/>
          <w:highlight w:val="none"/>
        </w:rPr>
        <w:t>（三）部分设备不合格的，采购人有权要求中标服务商在指定期间内免费更换，中标服务商拒不更换的，采购人有权自行或委托第三方购买设备，但设备供应费、运输费等合理费用由中标服务商承担。上述费用从质保金中扣除，不足部分由中标服务商承担。同时，中标服务商应在三日内补足质保金。</w:t>
      </w:r>
    </w:p>
    <w:p w14:paraId="19E77C27">
      <w:pPr>
        <w:pStyle w:val="6"/>
        <w:spacing w:line="360" w:lineRule="auto"/>
        <w:ind w:firstLine="480" w:firstLineChars="200"/>
        <w:rPr>
          <w:rFonts w:hint="eastAsia" w:ascii="宋体" w:hAnsi="宋体" w:cs="宋体"/>
          <w:sz w:val="24"/>
          <w:highlight w:val="none"/>
        </w:rPr>
      </w:pPr>
      <w:r>
        <w:rPr>
          <w:rFonts w:hint="eastAsia" w:ascii="宋体" w:hAnsi="宋体" w:cs="宋体"/>
          <w:sz w:val="24"/>
          <w:highlight w:val="none"/>
        </w:rPr>
        <w:t>（四）质保期内中标服务商未按照招标文件、投标文件规定及合同约定提供维保服务的，采购人有权指定第三方提供维保服务，但第三方维修费、交通费、人工费等合理费用由中标服务商承担。上述相关费用从质保金中扣除，质保金不足的，中标服务商应在三日内补足质保金。</w:t>
      </w:r>
      <w:r>
        <w:rPr>
          <w:rFonts w:hint="eastAsia" w:ascii="Times New Roman" w:hAnsi="Times New Roman" w:eastAsia="宋体" w:cs="Times New Roman"/>
          <w:kern w:val="0"/>
          <w:sz w:val="24"/>
          <w:szCs w:val="20"/>
          <w:highlight w:val="none"/>
          <w:lang w:val="en-US" w:eastAsia="zh-CN" w:bidi="ar-SA"/>
        </w:rPr>
        <w:t>若出现运维保障事故（包括但不限于无应答、应答超时、处理无效等）超过3次以上，甲方有权要求乙方更换服务人员。因乙方原因造成甲方无法正常使用系统软件的，按延误实际天数，按合同总款项的万份之五的标准按日支付违约金。</w:t>
      </w:r>
    </w:p>
    <w:p w14:paraId="6AFA4D19">
      <w:pPr>
        <w:pStyle w:val="6"/>
        <w:spacing w:line="360" w:lineRule="auto"/>
        <w:ind w:firstLine="480" w:firstLineChars="200"/>
        <w:rPr>
          <w:rFonts w:hint="eastAsia" w:ascii="宋体" w:hAnsi="宋体" w:cs="宋体"/>
          <w:sz w:val="24"/>
          <w:highlight w:val="none"/>
        </w:rPr>
      </w:pPr>
      <w:r>
        <w:rPr>
          <w:rFonts w:hint="eastAsia" w:ascii="宋体" w:hAnsi="宋体" w:cs="宋体"/>
          <w:sz w:val="24"/>
          <w:highlight w:val="none"/>
        </w:rPr>
        <w:t>（五）因中标服务商提供的硬件软件等服务侵害他人权利或者造成采购人损害的，中标服务商承担全招标部赔偿责</w:t>
      </w:r>
      <w:r>
        <w:rPr>
          <w:rFonts w:hint="eastAsia" w:ascii="宋体" w:hAnsi="宋体" w:eastAsia="宋体" w:cs="宋体"/>
          <w:sz w:val="24"/>
          <w:highlight w:val="none"/>
        </w:rPr>
        <w:t>任。</w:t>
      </w:r>
      <w:r>
        <w:rPr>
          <w:rFonts w:hint="eastAsia" w:ascii="宋体" w:hAnsi="宋体" w:eastAsia="宋体" w:cs="宋体"/>
          <w:sz w:val="24"/>
          <w:highlight w:val="none"/>
          <w:lang w:val="en-US" w:eastAsia="zh-CN"/>
        </w:rPr>
        <w:t>采购人</w:t>
      </w:r>
      <w:r>
        <w:rPr>
          <w:rFonts w:hint="eastAsia"/>
          <w:sz w:val="24"/>
          <w:szCs w:val="24"/>
          <w:highlight w:val="none"/>
          <w:lang w:val="en-US" w:eastAsia="zh-CN"/>
        </w:rPr>
        <w:t>因此涉诉或承担赔偿责任的，一切经济损失由中标服务商承担，包括但不限于赔偿金</w:t>
      </w:r>
      <w:r>
        <w:rPr>
          <w:rFonts w:hint="eastAsia" w:ascii="Times New Roman" w:hAnsi="Times New Roman" w:eastAsia="宋体" w:cs="Times New Roman"/>
          <w:sz w:val="24"/>
          <w:szCs w:val="24"/>
          <w:highlight w:val="none"/>
          <w:lang w:val="en-US" w:eastAsia="zh-CN"/>
        </w:rPr>
        <w:t>、罚款、律师费、诉讼保全费、差旅费等费用。</w:t>
      </w:r>
    </w:p>
    <w:p w14:paraId="14498A04">
      <w:pPr>
        <w:pStyle w:val="6"/>
        <w:spacing w:line="360" w:lineRule="auto"/>
        <w:ind w:firstLine="480" w:firstLineChars="200"/>
        <w:rPr>
          <w:rFonts w:hint="eastAsia" w:ascii="宋体" w:hAnsi="宋体" w:cs="宋体"/>
          <w:sz w:val="24"/>
          <w:highlight w:val="none"/>
        </w:rPr>
      </w:pPr>
      <w:r>
        <w:rPr>
          <w:rFonts w:hint="eastAsia" w:ascii="宋体" w:hAnsi="宋体" w:cs="宋体"/>
          <w:sz w:val="24"/>
          <w:highlight w:val="none"/>
        </w:rPr>
        <w:t>（六）中标服务商在提供服务过程中造成他人损害的，由中标服务商承担全部责任。</w:t>
      </w:r>
      <w:r>
        <w:rPr>
          <w:rFonts w:hint="eastAsia"/>
          <w:highlight w:val="none"/>
          <w:lang w:val="en-US" w:eastAsia="zh-CN"/>
        </w:rPr>
        <w:t>采</w:t>
      </w:r>
      <w:r>
        <w:rPr>
          <w:rFonts w:hint="eastAsia"/>
          <w:sz w:val="24"/>
          <w:szCs w:val="24"/>
          <w:highlight w:val="none"/>
          <w:lang w:val="en-US" w:eastAsia="zh-CN"/>
        </w:rPr>
        <w:t>购人因此涉诉或承担赔偿责任的，一切经济损失由中标服务商承担，包括但不限于赔偿金</w:t>
      </w:r>
      <w:r>
        <w:rPr>
          <w:rFonts w:hint="eastAsia" w:ascii="Times New Roman" w:hAnsi="Times New Roman" w:eastAsia="宋体" w:cs="Times New Roman"/>
          <w:sz w:val="24"/>
          <w:szCs w:val="24"/>
          <w:highlight w:val="none"/>
          <w:lang w:val="en-US" w:eastAsia="zh-CN"/>
        </w:rPr>
        <w:t>、罚款、律师费、诉讼保全费、差旅费等费用。</w:t>
      </w:r>
    </w:p>
    <w:p w14:paraId="79B4AA04">
      <w:pPr>
        <w:pStyle w:val="6"/>
        <w:spacing w:line="360" w:lineRule="auto"/>
        <w:ind w:firstLine="480" w:firstLineChars="200"/>
        <w:rPr>
          <w:rFonts w:hint="eastAsia" w:ascii="宋体" w:hAnsi="宋体" w:cs="宋体"/>
          <w:sz w:val="24"/>
          <w:highlight w:val="none"/>
        </w:rPr>
      </w:pPr>
      <w:r>
        <w:rPr>
          <w:rFonts w:hint="eastAsia" w:ascii="宋体" w:hAnsi="宋体" w:cs="宋体"/>
          <w:sz w:val="24"/>
          <w:highlight w:val="none"/>
        </w:rPr>
        <w:t>（七）中标服务商应在收到解除通知后7天内退还已收取的款项。上述约定的违约条款可合并适用，合并适用后仍不能弥补采购人损失的，采购人有权继续追偿。</w:t>
      </w:r>
    </w:p>
    <w:p w14:paraId="29EE7BB6">
      <w:pPr>
        <w:pStyle w:val="6"/>
        <w:spacing w:line="360" w:lineRule="auto"/>
        <w:ind w:firstLine="480" w:firstLineChars="200"/>
        <w:rPr>
          <w:rFonts w:hint="eastAsia" w:ascii="宋体" w:hAnsi="宋体" w:cs="宋体"/>
          <w:sz w:val="24"/>
          <w:highlight w:val="none"/>
        </w:rPr>
      </w:pPr>
      <w:r>
        <w:rPr>
          <w:rFonts w:hint="eastAsia" w:ascii="宋体" w:hAnsi="宋体" w:cs="宋体"/>
          <w:sz w:val="24"/>
          <w:highlight w:val="none"/>
        </w:rPr>
        <w:t>（八）未按合同要求提供软硬件及服务或软硬件及服务质量不能满足合同要求，采购人应当将服务商违约的情况以及拟采取的措施以书面形式报政府采购监管部门，根据政府采购监管部门的处理意见，采购人有权依据《中华人民共和国民法典》有关条款及合同约定终止合同，并要求服务商承担违约责任。同时，政府采购监管部门有权依据《政府采购法》及相关法律法规对服务商的违法行为进行相应的处罚。</w:t>
      </w:r>
    </w:p>
    <w:p w14:paraId="2860A61B">
      <w:pPr>
        <w:pStyle w:val="6"/>
        <w:spacing w:line="360" w:lineRule="auto"/>
        <w:ind w:firstLine="480" w:firstLineChars="200"/>
        <w:rPr>
          <w:rFonts w:hint="default" w:ascii="宋体" w:hAnsi="宋体" w:eastAsia="宋体" w:cs="宋体"/>
          <w:sz w:val="24"/>
          <w:highlight w:val="none"/>
          <w:lang w:val="en-US" w:eastAsia="zh-CN"/>
        </w:rPr>
      </w:pPr>
      <w:r>
        <w:rPr>
          <w:rFonts w:hint="eastAsia" w:ascii="宋体" w:hAnsi="宋体" w:eastAsia="宋体" w:cs="宋体"/>
          <w:sz w:val="24"/>
          <w:highlight w:val="none"/>
          <w:lang w:val="en-US" w:eastAsia="zh-CN"/>
        </w:rPr>
        <w:t>十、保密条款</w:t>
      </w:r>
    </w:p>
    <w:p w14:paraId="41D2920A">
      <w:pPr>
        <w:pStyle w:val="6"/>
        <w:spacing w:line="360" w:lineRule="auto"/>
        <w:ind w:firstLine="480" w:firstLineChars="200"/>
        <w:rPr>
          <w:rFonts w:hint="default" w:ascii="宋体" w:hAnsi="宋体" w:eastAsia="宋体" w:cs="宋体"/>
          <w:sz w:val="24"/>
          <w:highlight w:val="none"/>
          <w:lang w:val="en-US" w:eastAsia="zh-CN"/>
        </w:rPr>
      </w:pPr>
      <w:r>
        <w:rPr>
          <w:rFonts w:hint="eastAsia" w:ascii="宋体" w:hAnsi="宋体" w:eastAsia="宋体" w:cs="宋体"/>
          <w:sz w:val="24"/>
          <w:highlight w:val="none"/>
          <w:lang w:val="en-US" w:eastAsia="zh-CN"/>
        </w:rPr>
        <w:t xml:space="preserve">  （一）未经采购人书面同意,中标服务商永久不得向社会公众或第三方通过任何途径出示、披露有关采购人的相关信息以及本项目的工作成果。如有违反，一切后果由中标服务商承担。但若遇公检法监等机构的司法调查除外。</w:t>
      </w:r>
    </w:p>
    <w:p w14:paraId="530E0EE7">
      <w:pPr>
        <w:pStyle w:val="6"/>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 xml:space="preserve">  （二）在中标服务商为采购人提供服务的过程中，由采购人提供给中标服务商的资料，其中纸质资料在使用完后应立即归还采购人，电子资料应在使用完毕后立即销毁。同时中标服务商应对资料信息进行保密，永久不得向社会公众或第三方通过任何途径出示、披露资料或数据信息，如有违反，一切后果由中标服务商承担，采购人有权要求中标服务商立即采取必要的补救措施，由此产生的一切费用由中标服务商自行承担，采购人有权对因中标服务商泄密的行为造成的直接损失以及可以预见的预期损失要求中标服务商承担赔偿责任。</w:t>
      </w:r>
    </w:p>
    <w:p w14:paraId="0E3CA218">
      <w:pPr>
        <w:pStyle w:val="6"/>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 xml:space="preserve"> （三）不论何种原因采购人与中标服务商终止合同，中标服务商均应在5日内配合采购人完成资料、数据信息的对接和归还（包括纸质资料以及电子资料、数据信息等），中标服务商不得私自留存备份。中标服务商承诺：中标服务商及中标服务商工作人员对曾接触到的采购人资料信息进行保密，永久不得向社会公众或第三方通过任何途径出示、披露资料或数据信息，如有违反，一切后果由中标服务商承担，采购人有权要求中标服务商立即采取必要的补救措施，由此产生的一切费用由中标服务商自行承担，采购人有权对因中标服务商及中标服务商工作人员的泄密行为造成的直接损失以及可以预见的预期损失要求中标服务商承担赔偿责任。</w:t>
      </w:r>
    </w:p>
    <w:p w14:paraId="795BB085">
      <w:pPr>
        <w:pStyle w:val="6"/>
        <w:spacing w:line="360" w:lineRule="auto"/>
        <w:rPr>
          <w:rFonts w:hint="eastAsia" w:ascii="宋体" w:hAnsi="宋体" w:cs="宋体"/>
          <w:b/>
          <w:bCs/>
          <w:szCs w:val="28"/>
          <w:highlight w:val="none"/>
        </w:rPr>
      </w:pPr>
      <w:r>
        <w:rPr>
          <w:rFonts w:hint="eastAsia" w:ascii="宋体" w:hAnsi="宋体" w:cs="宋体"/>
          <w:b/>
          <w:bCs/>
          <w:szCs w:val="28"/>
          <w:highlight w:val="none"/>
        </w:rPr>
        <w:t>十</w:t>
      </w:r>
      <w:r>
        <w:rPr>
          <w:rFonts w:hint="eastAsia" w:ascii="宋体" w:hAnsi="宋体" w:cs="宋体"/>
          <w:b/>
          <w:bCs/>
          <w:szCs w:val="28"/>
          <w:highlight w:val="none"/>
          <w:lang w:val="en-US" w:eastAsia="zh-CN"/>
        </w:rPr>
        <w:t>一</w:t>
      </w:r>
      <w:r>
        <w:rPr>
          <w:rFonts w:hint="eastAsia" w:ascii="宋体" w:hAnsi="宋体" w:cs="宋体"/>
          <w:b/>
          <w:bCs/>
          <w:szCs w:val="28"/>
          <w:highlight w:val="none"/>
        </w:rPr>
        <w:t>、合同争议的解决</w:t>
      </w:r>
    </w:p>
    <w:p w14:paraId="24664987">
      <w:pPr>
        <w:pStyle w:val="6"/>
        <w:spacing w:line="360" w:lineRule="auto"/>
        <w:ind w:firstLine="480" w:firstLineChars="200"/>
        <w:rPr>
          <w:rFonts w:hint="eastAsia" w:ascii="宋体" w:hAnsi="宋体" w:cs="宋体"/>
          <w:sz w:val="24"/>
          <w:highlight w:val="none"/>
        </w:rPr>
      </w:pPr>
      <w:r>
        <w:rPr>
          <w:rFonts w:hint="eastAsia" w:ascii="宋体" w:hAnsi="宋体" w:cs="宋体"/>
          <w:sz w:val="24"/>
          <w:highlight w:val="none"/>
        </w:rPr>
        <w:t>合同执行中发生争议的，当事人双方应协商解决，协商达不成一致时，向采购人所在地人民法院提请诉讼。</w:t>
      </w:r>
    </w:p>
    <w:p w14:paraId="6184B089">
      <w:pPr>
        <w:pStyle w:val="6"/>
        <w:spacing w:line="360" w:lineRule="auto"/>
        <w:rPr>
          <w:rFonts w:hint="eastAsia" w:ascii="宋体" w:hAnsi="宋体" w:cs="宋体"/>
          <w:b/>
          <w:bCs/>
          <w:szCs w:val="28"/>
          <w:highlight w:val="none"/>
        </w:rPr>
      </w:pPr>
      <w:r>
        <w:rPr>
          <w:rFonts w:hint="eastAsia" w:ascii="宋体" w:hAnsi="宋体" w:cs="宋体"/>
          <w:b/>
          <w:bCs/>
          <w:szCs w:val="28"/>
          <w:highlight w:val="none"/>
        </w:rPr>
        <w:t>十</w:t>
      </w:r>
      <w:r>
        <w:rPr>
          <w:rFonts w:hint="eastAsia" w:ascii="宋体" w:hAnsi="宋体" w:cs="宋体"/>
          <w:b/>
          <w:bCs/>
          <w:szCs w:val="28"/>
          <w:highlight w:val="none"/>
          <w:lang w:val="en-US" w:eastAsia="zh-CN"/>
        </w:rPr>
        <w:t>二</w:t>
      </w:r>
      <w:r>
        <w:rPr>
          <w:rFonts w:hint="eastAsia" w:ascii="宋体" w:hAnsi="宋体" w:cs="宋体"/>
          <w:b/>
          <w:bCs/>
          <w:szCs w:val="28"/>
          <w:highlight w:val="none"/>
        </w:rPr>
        <w:t>、在发生不可抗力情况下的应对措施和解决办法：</w:t>
      </w:r>
    </w:p>
    <w:p w14:paraId="7ABC3E5B">
      <w:pPr>
        <w:pStyle w:val="6"/>
        <w:spacing w:line="360" w:lineRule="auto"/>
        <w:ind w:firstLine="480" w:firstLineChars="200"/>
        <w:rPr>
          <w:rFonts w:hint="eastAsia" w:ascii="宋体" w:hAnsi="宋体" w:cs="宋体"/>
          <w:sz w:val="24"/>
          <w:highlight w:val="none"/>
        </w:rPr>
      </w:pPr>
      <w:r>
        <w:rPr>
          <w:rFonts w:hint="eastAsia" w:ascii="宋体" w:hAnsi="宋体" w:cs="宋体"/>
          <w:sz w:val="24"/>
          <w:highlight w:val="none"/>
        </w:rPr>
        <w:t>（一）在合同有效期内，因不可抗力事件，如：火灾、地震、洪水、雷击等自然灾害、战争、戒严或其他超出双方合理控制范围内，不可抗力事件导致迟延或者不能履行合同，应当及时以书面形式通知对方，说明原由、拖延的期限等；</w:t>
      </w:r>
    </w:p>
    <w:p w14:paraId="4F591654">
      <w:pPr>
        <w:pStyle w:val="6"/>
        <w:spacing w:line="360" w:lineRule="auto"/>
        <w:ind w:firstLine="480" w:firstLineChars="200"/>
        <w:rPr>
          <w:rFonts w:hint="eastAsia" w:ascii="宋体" w:hAnsi="宋体" w:cs="宋体"/>
          <w:sz w:val="24"/>
          <w:highlight w:val="none"/>
        </w:rPr>
      </w:pPr>
      <w:r>
        <w:rPr>
          <w:rFonts w:hint="eastAsia" w:ascii="宋体" w:hAnsi="宋体" w:cs="宋体"/>
          <w:sz w:val="24"/>
          <w:highlight w:val="none"/>
        </w:rPr>
        <w:t>（二）不可抗力事件发生后，应立即通知对方，并寄送有关权威机构出具的证明。</w:t>
      </w:r>
    </w:p>
    <w:p w14:paraId="210466EA">
      <w:pPr>
        <w:pStyle w:val="6"/>
        <w:spacing w:line="360" w:lineRule="auto"/>
        <w:ind w:firstLine="480" w:firstLineChars="200"/>
        <w:rPr>
          <w:rFonts w:hint="eastAsia" w:ascii="宋体" w:hAnsi="宋体" w:cs="宋体"/>
          <w:sz w:val="24"/>
          <w:highlight w:val="none"/>
        </w:rPr>
      </w:pPr>
      <w:r>
        <w:rPr>
          <w:rFonts w:hint="eastAsia" w:ascii="宋体" w:hAnsi="宋体" w:cs="宋体"/>
          <w:sz w:val="24"/>
          <w:highlight w:val="none"/>
        </w:rPr>
        <w:t>（三）不可抗力事件延续 15 天以上，双方应通过友好协商，确定是否继续履行合同。</w:t>
      </w:r>
    </w:p>
    <w:p w14:paraId="0B7F577D">
      <w:pPr>
        <w:pStyle w:val="6"/>
        <w:spacing w:line="360" w:lineRule="auto"/>
        <w:rPr>
          <w:rFonts w:hint="eastAsia" w:ascii="宋体" w:hAnsi="宋体" w:cs="宋体"/>
          <w:b/>
          <w:bCs/>
          <w:szCs w:val="28"/>
          <w:highlight w:val="none"/>
        </w:rPr>
      </w:pPr>
      <w:r>
        <w:rPr>
          <w:rFonts w:hint="eastAsia" w:ascii="宋体" w:hAnsi="宋体" w:cs="宋体"/>
          <w:b/>
          <w:bCs/>
          <w:szCs w:val="28"/>
          <w:highlight w:val="none"/>
        </w:rPr>
        <w:t>十</w:t>
      </w:r>
      <w:r>
        <w:rPr>
          <w:rFonts w:hint="eastAsia" w:ascii="宋体" w:hAnsi="宋体" w:cs="宋体"/>
          <w:b/>
          <w:bCs/>
          <w:szCs w:val="28"/>
          <w:highlight w:val="none"/>
          <w:lang w:val="en-US" w:eastAsia="zh-CN"/>
        </w:rPr>
        <w:t>三</w:t>
      </w:r>
      <w:r>
        <w:rPr>
          <w:rFonts w:hint="eastAsia" w:ascii="宋体" w:hAnsi="宋体" w:cs="宋体"/>
          <w:b/>
          <w:bCs/>
          <w:szCs w:val="28"/>
          <w:highlight w:val="none"/>
        </w:rPr>
        <w:t>、合同一经签订，不得擅自变更、中止或者终止合同。对确需变更、调整或者中止、终止合同的，应按规定履行相应的手续。</w:t>
      </w:r>
    </w:p>
    <w:p w14:paraId="6DCCF62D">
      <w:pPr>
        <w:pStyle w:val="10"/>
        <w:rPr>
          <w:rFonts w:hint="eastAsia"/>
          <w:color w:val="auto"/>
          <w:highlight w:val="none"/>
        </w:rPr>
      </w:pPr>
      <w:r>
        <w:rPr>
          <w:rFonts w:hint="eastAsia" w:ascii="宋体" w:hAnsi="宋体" w:cs="宋体"/>
          <w:b/>
          <w:bCs/>
          <w:color w:val="auto"/>
          <w:szCs w:val="28"/>
          <w:highlight w:val="none"/>
        </w:rPr>
        <w:t>十</w:t>
      </w:r>
      <w:r>
        <w:rPr>
          <w:rFonts w:hint="eastAsia" w:ascii="宋体" w:hAnsi="宋体" w:cs="宋体"/>
          <w:b/>
          <w:bCs/>
          <w:color w:val="auto"/>
          <w:szCs w:val="28"/>
          <w:highlight w:val="none"/>
          <w:lang w:val="en-US" w:eastAsia="zh-CN"/>
        </w:rPr>
        <w:t>四、</w:t>
      </w:r>
      <w:r>
        <w:rPr>
          <w:rFonts w:hint="eastAsia" w:ascii="宋体" w:hAnsi="宋体" w:eastAsia="宋体" w:cs="宋体"/>
          <w:b/>
          <w:bCs/>
          <w:color w:val="auto"/>
          <w:kern w:val="2"/>
          <w:sz w:val="21"/>
          <w:szCs w:val="28"/>
          <w:highlight w:val="none"/>
          <w:lang w:val="en-US" w:eastAsia="zh-CN" w:bidi="ar-SA"/>
        </w:rPr>
        <w:t>自合同签订之日起一年，若服务期限满一年乙方未出现重大违约情况，可续签合同一年。</w:t>
      </w:r>
    </w:p>
    <w:p w14:paraId="5137857A">
      <w:pPr>
        <w:pStyle w:val="6"/>
        <w:spacing w:line="360" w:lineRule="auto"/>
        <w:rPr>
          <w:rFonts w:hint="eastAsia" w:ascii="宋体" w:hAnsi="宋体" w:cs="宋体"/>
          <w:b/>
          <w:bCs/>
          <w:szCs w:val="28"/>
          <w:highlight w:val="none"/>
        </w:rPr>
      </w:pPr>
      <w:r>
        <w:rPr>
          <w:rFonts w:hint="eastAsia" w:ascii="宋体" w:hAnsi="宋体" w:cs="宋体"/>
          <w:b/>
          <w:bCs/>
          <w:szCs w:val="28"/>
          <w:highlight w:val="none"/>
        </w:rPr>
        <w:t>十</w:t>
      </w:r>
      <w:r>
        <w:rPr>
          <w:rFonts w:hint="eastAsia" w:ascii="宋体" w:hAnsi="宋体" w:cs="宋体"/>
          <w:b/>
          <w:bCs/>
          <w:szCs w:val="28"/>
          <w:highlight w:val="none"/>
          <w:lang w:val="en-US" w:eastAsia="zh-CN"/>
        </w:rPr>
        <w:t>五</w:t>
      </w:r>
      <w:r>
        <w:rPr>
          <w:rFonts w:hint="eastAsia" w:ascii="宋体" w:hAnsi="宋体" w:cs="宋体"/>
          <w:b/>
          <w:bCs/>
          <w:szCs w:val="28"/>
          <w:highlight w:val="none"/>
        </w:rPr>
        <w:t>、合同生效及其他</w:t>
      </w:r>
    </w:p>
    <w:p w14:paraId="535F20EE">
      <w:pPr>
        <w:pStyle w:val="6"/>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1、本合同自签订之日起生效。</w:t>
      </w:r>
    </w:p>
    <w:p w14:paraId="04B98E61">
      <w:pPr>
        <w:pStyle w:val="6"/>
        <w:spacing w:line="360" w:lineRule="auto"/>
        <w:ind w:firstLine="480" w:firstLineChars="200"/>
        <w:rPr>
          <w:rFonts w:hint="eastAsia" w:ascii="宋体" w:hAnsi="宋体" w:cs="宋体"/>
          <w:sz w:val="24"/>
          <w:highlight w:val="none"/>
        </w:rPr>
      </w:pPr>
      <w:r>
        <w:rPr>
          <w:rFonts w:hint="eastAsia" w:ascii="宋体" w:hAnsi="宋体" w:cs="宋体"/>
          <w:sz w:val="24"/>
          <w:highlight w:val="none"/>
        </w:rPr>
        <w:t>2、合同一式6份，采购人、中标服务商各2份；政府采购监管机构备案1份、采购代理机构1份。</w:t>
      </w:r>
    </w:p>
    <w:p w14:paraId="073A47E0">
      <w:pPr>
        <w:pStyle w:val="6"/>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3、未尽事宜由双方在签订合同时具体明确或签订补充合同。</w:t>
      </w:r>
    </w:p>
    <w:tbl>
      <w:tblPr>
        <w:tblStyle w:val="7"/>
        <w:tblpPr w:leftFromText="180" w:rightFromText="180" w:vertAnchor="text" w:horzAnchor="page" w:tblpX="1402" w:tblpY="222"/>
        <w:tblOverlap w:val="never"/>
        <w:tblW w:w="0" w:type="auto"/>
        <w:tblInd w:w="0" w:type="dxa"/>
        <w:tblLayout w:type="fixed"/>
        <w:tblCellMar>
          <w:top w:w="0" w:type="dxa"/>
          <w:left w:w="108" w:type="dxa"/>
          <w:bottom w:w="0" w:type="dxa"/>
          <w:right w:w="108" w:type="dxa"/>
        </w:tblCellMar>
      </w:tblPr>
      <w:tblGrid>
        <w:gridCol w:w="4643"/>
        <w:gridCol w:w="4643"/>
      </w:tblGrid>
      <w:tr w14:paraId="0F197D31">
        <w:tblPrEx>
          <w:tblCellMar>
            <w:top w:w="0" w:type="dxa"/>
            <w:left w:w="108" w:type="dxa"/>
            <w:bottom w:w="0" w:type="dxa"/>
            <w:right w:w="108" w:type="dxa"/>
          </w:tblCellMar>
        </w:tblPrEx>
        <w:tc>
          <w:tcPr>
            <w:tcW w:w="4643" w:type="dxa"/>
            <w:noWrap w:val="0"/>
            <w:vAlign w:val="top"/>
          </w:tcPr>
          <w:p w14:paraId="53656A42">
            <w:pPr>
              <w:pStyle w:val="6"/>
              <w:spacing w:line="360" w:lineRule="auto"/>
              <w:ind w:firstLine="480" w:firstLineChars="200"/>
              <w:rPr>
                <w:rFonts w:hint="eastAsia" w:ascii="宋体" w:hAnsi="宋体" w:cs="宋体"/>
                <w:sz w:val="24"/>
                <w:highlight w:val="none"/>
              </w:rPr>
            </w:pPr>
            <w:r>
              <w:rPr>
                <w:rFonts w:hint="eastAsia" w:ascii="宋体" w:hAnsi="宋体" w:cs="宋体"/>
                <w:sz w:val="24"/>
                <w:highlight w:val="none"/>
              </w:rPr>
              <w:t>采购人名称（盖章）:</w:t>
            </w:r>
          </w:p>
          <w:p w14:paraId="5D2F7C84">
            <w:pPr>
              <w:pStyle w:val="6"/>
              <w:spacing w:line="360" w:lineRule="auto"/>
              <w:ind w:firstLine="480" w:firstLineChars="200"/>
              <w:rPr>
                <w:rFonts w:hint="eastAsia" w:ascii="宋体" w:hAnsi="宋体" w:cs="宋体"/>
                <w:sz w:val="24"/>
                <w:highlight w:val="none"/>
              </w:rPr>
            </w:pPr>
            <w:r>
              <w:rPr>
                <w:rFonts w:hint="eastAsia" w:ascii="宋体" w:hAnsi="宋体" w:cs="宋体"/>
                <w:sz w:val="24"/>
                <w:highlight w:val="none"/>
              </w:rPr>
              <w:t>地址：</w:t>
            </w:r>
          </w:p>
          <w:p w14:paraId="63A3FFE8">
            <w:pPr>
              <w:pStyle w:val="6"/>
              <w:spacing w:line="360" w:lineRule="auto"/>
              <w:ind w:firstLine="480" w:firstLineChars="200"/>
              <w:rPr>
                <w:rFonts w:hint="eastAsia" w:ascii="宋体" w:hAnsi="宋体" w:cs="宋体"/>
                <w:sz w:val="24"/>
                <w:highlight w:val="none"/>
              </w:rPr>
            </w:pPr>
            <w:r>
              <w:rPr>
                <w:rFonts w:hint="eastAsia" w:ascii="宋体" w:hAnsi="宋体" w:cs="宋体"/>
                <w:sz w:val="24"/>
                <w:highlight w:val="none"/>
              </w:rPr>
              <w:t>代表人（签字）：</w:t>
            </w:r>
          </w:p>
          <w:p w14:paraId="115271BC">
            <w:pPr>
              <w:pStyle w:val="6"/>
              <w:spacing w:line="360" w:lineRule="auto"/>
              <w:ind w:firstLine="480" w:firstLineChars="200"/>
              <w:rPr>
                <w:rFonts w:hint="eastAsia" w:ascii="宋体" w:hAnsi="宋体" w:cs="宋体"/>
                <w:sz w:val="24"/>
                <w:highlight w:val="none"/>
              </w:rPr>
            </w:pPr>
            <w:r>
              <w:rPr>
                <w:rFonts w:hint="eastAsia" w:ascii="宋体" w:hAnsi="宋体" w:cs="宋体"/>
                <w:sz w:val="24"/>
                <w:highlight w:val="none"/>
              </w:rPr>
              <w:t>电话：</w:t>
            </w:r>
          </w:p>
          <w:p w14:paraId="1C29B2C2">
            <w:pPr>
              <w:pStyle w:val="6"/>
              <w:spacing w:line="360" w:lineRule="auto"/>
              <w:ind w:firstLine="480" w:firstLineChars="200"/>
              <w:rPr>
                <w:rFonts w:hint="eastAsia" w:ascii="宋体" w:hAnsi="宋体" w:cs="宋体"/>
                <w:sz w:val="24"/>
                <w:highlight w:val="none"/>
              </w:rPr>
            </w:pPr>
            <w:r>
              <w:rPr>
                <w:rFonts w:hint="eastAsia" w:ascii="宋体" w:hAnsi="宋体" w:cs="宋体"/>
                <w:sz w:val="24"/>
                <w:highlight w:val="none"/>
              </w:rPr>
              <w:t>开户银行：</w:t>
            </w:r>
          </w:p>
          <w:p w14:paraId="70F67326">
            <w:pPr>
              <w:pStyle w:val="6"/>
              <w:spacing w:line="360" w:lineRule="auto"/>
              <w:ind w:firstLine="480" w:firstLineChars="200"/>
              <w:rPr>
                <w:rFonts w:hint="eastAsia" w:ascii="宋体" w:hAnsi="宋体" w:cs="宋体"/>
                <w:sz w:val="24"/>
                <w:highlight w:val="none"/>
              </w:rPr>
            </w:pPr>
            <w:r>
              <w:rPr>
                <w:rFonts w:hint="eastAsia" w:ascii="宋体" w:hAnsi="宋体" w:cs="宋体"/>
                <w:sz w:val="24"/>
                <w:highlight w:val="none"/>
              </w:rPr>
              <w:t>帐号：</w:t>
            </w:r>
          </w:p>
        </w:tc>
        <w:tc>
          <w:tcPr>
            <w:tcW w:w="4643" w:type="dxa"/>
            <w:noWrap w:val="0"/>
            <w:vAlign w:val="top"/>
          </w:tcPr>
          <w:p w14:paraId="4D96FB4F">
            <w:pPr>
              <w:pStyle w:val="6"/>
              <w:spacing w:line="360" w:lineRule="auto"/>
              <w:ind w:firstLine="480" w:firstLineChars="200"/>
              <w:rPr>
                <w:rFonts w:hint="eastAsia" w:ascii="宋体" w:hAnsi="宋体" w:cs="宋体"/>
                <w:sz w:val="24"/>
                <w:highlight w:val="none"/>
              </w:rPr>
            </w:pPr>
            <w:r>
              <w:rPr>
                <w:rFonts w:hint="eastAsia" w:ascii="宋体" w:hAnsi="宋体" w:cs="宋体"/>
                <w:sz w:val="24"/>
                <w:highlight w:val="none"/>
              </w:rPr>
              <w:t>中标服务商名称（盖章）:</w:t>
            </w:r>
          </w:p>
          <w:p w14:paraId="735B7D75">
            <w:pPr>
              <w:pStyle w:val="6"/>
              <w:spacing w:line="360" w:lineRule="auto"/>
              <w:ind w:firstLine="480" w:firstLineChars="200"/>
              <w:rPr>
                <w:rFonts w:hint="eastAsia" w:ascii="宋体" w:hAnsi="宋体" w:cs="宋体"/>
                <w:sz w:val="24"/>
                <w:highlight w:val="none"/>
              </w:rPr>
            </w:pPr>
            <w:r>
              <w:rPr>
                <w:rFonts w:hint="eastAsia" w:ascii="宋体" w:hAnsi="宋体" w:cs="宋体"/>
                <w:sz w:val="24"/>
                <w:highlight w:val="none"/>
              </w:rPr>
              <w:t>地址：</w:t>
            </w:r>
          </w:p>
          <w:p w14:paraId="2123AA52">
            <w:pPr>
              <w:pStyle w:val="6"/>
              <w:spacing w:line="360" w:lineRule="auto"/>
              <w:ind w:firstLine="480" w:firstLineChars="200"/>
              <w:rPr>
                <w:rFonts w:hint="eastAsia" w:ascii="宋体" w:hAnsi="宋体" w:cs="宋体"/>
                <w:sz w:val="24"/>
                <w:highlight w:val="none"/>
              </w:rPr>
            </w:pPr>
            <w:r>
              <w:rPr>
                <w:rFonts w:hint="eastAsia" w:ascii="宋体" w:hAnsi="宋体" w:cs="宋体"/>
                <w:sz w:val="24"/>
                <w:highlight w:val="none"/>
              </w:rPr>
              <w:t>代表人（签字）：</w:t>
            </w:r>
          </w:p>
          <w:p w14:paraId="322E645B">
            <w:pPr>
              <w:pStyle w:val="6"/>
              <w:spacing w:line="360" w:lineRule="auto"/>
              <w:ind w:firstLine="480" w:firstLineChars="200"/>
              <w:rPr>
                <w:rFonts w:hint="eastAsia" w:ascii="宋体" w:hAnsi="宋体" w:cs="宋体"/>
                <w:sz w:val="24"/>
                <w:highlight w:val="none"/>
              </w:rPr>
            </w:pPr>
            <w:r>
              <w:rPr>
                <w:rFonts w:hint="eastAsia" w:ascii="宋体" w:hAnsi="宋体" w:cs="宋体"/>
                <w:sz w:val="24"/>
                <w:highlight w:val="none"/>
              </w:rPr>
              <w:t>电话：</w:t>
            </w:r>
          </w:p>
          <w:p w14:paraId="50E83C10">
            <w:pPr>
              <w:pStyle w:val="6"/>
              <w:spacing w:line="360" w:lineRule="auto"/>
              <w:ind w:firstLine="480" w:firstLineChars="200"/>
              <w:rPr>
                <w:rFonts w:hint="eastAsia" w:ascii="宋体" w:hAnsi="宋体" w:cs="宋体"/>
                <w:sz w:val="24"/>
                <w:highlight w:val="none"/>
              </w:rPr>
            </w:pPr>
            <w:r>
              <w:rPr>
                <w:rFonts w:hint="eastAsia" w:ascii="宋体" w:hAnsi="宋体" w:cs="宋体"/>
                <w:sz w:val="24"/>
                <w:highlight w:val="none"/>
              </w:rPr>
              <w:t>开户银行：</w:t>
            </w:r>
          </w:p>
          <w:p w14:paraId="5F568499">
            <w:pPr>
              <w:pStyle w:val="6"/>
              <w:spacing w:line="360" w:lineRule="auto"/>
              <w:ind w:firstLine="480" w:firstLineChars="200"/>
              <w:rPr>
                <w:rFonts w:hint="eastAsia" w:ascii="宋体" w:hAnsi="宋体" w:cs="宋体"/>
                <w:sz w:val="24"/>
                <w:highlight w:val="none"/>
              </w:rPr>
            </w:pPr>
            <w:r>
              <w:rPr>
                <w:rFonts w:hint="eastAsia" w:ascii="宋体" w:hAnsi="宋体" w:cs="宋体"/>
                <w:sz w:val="24"/>
                <w:highlight w:val="none"/>
              </w:rPr>
              <w:t>帐号：</w:t>
            </w:r>
          </w:p>
        </w:tc>
      </w:tr>
    </w:tbl>
    <w:p w14:paraId="430A8BF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8"/>
    <w:family w:val="decorative"/>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宋体">
    <w:altName w:val="宋体"/>
    <w:panose1 w:val="02010600040101010101"/>
    <w:charset w:val="86"/>
    <w:family w:val="auto"/>
    <w:pitch w:val="default"/>
    <w:sig w:usb0="00000000" w:usb1="00000000" w:usb2="00000000" w:usb3="00000000" w:csb0="0004009F" w:csb1="DFD7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C"/>
    <w:multiLevelType w:val="multilevel"/>
    <w:tmpl w:val="0000000C"/>
    <w:lvl w:ilvl="0" w:tentative="0">
      <w:start w:val="1"/>
      <w:numFmt w:val="decimal"/>
      <w:pStyle w:val="3"/>
      <w:lvlText w:val="%1"/>
      <w:lvlJc w:val="left"/>
      <w:pPr>
        <w:tabs>
          <w:tab w:val="left" w:pos="432"/>
        </w:tabs>
        <w:ind w:left="432" w:hanging="432"/>
      </w:pPr>
      <w:rPr>
        <w:rFonts w:hint="eastAsia"/>
      </w:rPr>
    </w:lvl>
    <w:lvl w:ilvl="1" w:tentative="0">
      <w:start w:val="1"/>
      <w:numFmt w:val="decimal"/>
      <w:lvlText w:val="%1.%2"/>
      <w:lvlJc w:val="left"/>
      <w:pPr>
        <w:tabs>
          <w:tab w:val="left" w:pos="576"/>
        </w:tabs>
        <w:ind w:left="576" w:hanging="576"/>
      </w:pPr>
      <w:rPr>
        <w:rFonts w:hint="eastAsia"/>
      </w:rPr>
    </w:lvl>
    <w:lvl w:ilvl="2" w:tentative="0">
      <w:start w:val="1"/>
      <w:numFmt w:val="decimal"/>
      <w:lvlText w:val="%1.%2.%3"/>
      <w:lvlJc w:val="left"/>
      <w:pPr>
        <w:tabs>
          <w:tab w:val="left" w:pos="720"/>
        </w:tabs>
        <w:ind w:left="720" w:hanging="720"/>
      </w:pPr>
      <w:rPr>
        <w:rFonts w:hint="eastAsia"/>
      </w:rPr>
    </w:lvl>
    <w:lvl w:ilvl="3" w:tentative="0">
      <w:start w:val="1"/>
      <w:numFmt w:val="decimal"/>
      <w:lvlText w:val="5.2.%4"/>
      <w:lvlJc w:val="left"/>
      <w:pPr>
        <w:tabs>
          <w:tab w:val="left" w:pos="1080"/>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c1YTgzOGYwYWQzODY3ZWUxZmE3MjAxZjg4ZDViY2YifQ=="/>
  </w:docVars>
  <w:rsids>
    <w:rsidRoot w:val="326D7ABC"/>
    <w:rsid w:val="326D7ABC"/>
    <w:rsid w:val="465C1CFC"/>
    <w:rsid w:val="4BE4545E"/>
    <w:rsid w:val="699B4AF8"/>
    <w:rsid w:val="6DB04BBF"/>
    <w:rsid w:val="7E0A24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numPr>
        <w:ilvl w:val="0"/>
        <w:numId w:val="1"/>
      </w:numPr>
      <w:spacing w:before="340" w:after="330" w:line="578" w:lineRule="auto"/>
      <w:outlineLvl w:val="0"/>
    </w:pPr>
    <w:rPr>
      <w:rFonts w:ascii="宋体" w:hAnsi="华文宋体"/>
      <w:b/>
      <w:kern w:val="44"/>
      <w:sz w:val="52"/>
      <w:szCs w:val="20"/>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customStyle="1" w:styleId="2">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Normal Indent"/>
    <w:basedOn w:val="1"/>
    <w:qFormat/>
    <w:uiPriority w:val="0"/>
    <w:pPr>
      <w:widowControl/>
      <w:ind w:firstLine="420"/>
      <w:jc w:val="left"/>
    </w:pPr>
    <w:rPr>
      <w:kern w:val="0"/>
      <w:sz w:val="20"/>
      <w:szCs w:val="20"/>
    </w:rPr>
  </w:style>
  <w:style w:type="paragraph" w:styleId="5">
    <w:name w:val="annotation text"/>
    <w:basedOn w:val="1"/>
    <w:qFormat/>
    <w:uiPriority w:val="0"/>
    <w:pPr>
      <w:adjustRightInd w:val="0"/>
      <w:spacing w:line="360" w:lineRule="atLeast"/>
      <w:jc w:val="left"/>
      <w:textAlignment w:val="baseline"/>
    </w:pPr>
    <w:rPr>
      <w:kern w:val="0"/>
      <w:sz w:val="24"/>
      <w:szCs w:val="20"/>
    </w:rPr>
  </w:style>
  <w:style w:type="paragraph" w:styleId="6">
    <w:name w:val="Body Text"/>
    <w:basedOn w:val="1"/>
    <w:next w:val="1"/>
    <w:qFormat/>
    <w:uiPriority w:val="0"/>
    <w:pPr>
      <w:spacing w:after="120" w:afterLines="0" w:afterAutospacing="0"/>
    </w:pPr>
  </w:style>
  <w:style w:type="paragraph" w:customStyle="1" w:styleId="9">
    <w:name w:val="列出段落1"/>
    <w:basedOn w:val="1"/>
    <w:qFormat/>
    <w:uiPriority w:val="99"/>
    <w:pPr>
      <w:widowControl w:val="0"/>
      <w:adjustRightInd/>
      <w:snapToGrid/>
      <w:spacing w:after="0"/>
      <w:ind w:firstLine="420" w:firstLineChars="200"/>
      <w:jc w:val="both"/>
    </w:pPr>
    <w:rPr>
      <w:rFonts w:ascii="Times New Roman" w:hAnsi="Times New Roman" w:eastAsia="宋体" w:cs="Times New Roman"/>
      <w:kern w:val="2"/>
      <w:sz w:val="21"/>
      <w:szCs w:val="21"/>
    </w:rPr>
  </w:style>
  <w:style w:type="paragraph" w:customStyle="1" w:styleId="10">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4277</Words>
  <Characters>4297</Characters>
  <Lines>0</Lines>
  <Paragraphs>0</Paragraphs>
  <TotalTime>2</TotalTime>
  <ScaleCrop>false</ScaleCrop>
  <LinksUpToDate>false</LinksUpToDate>
  <CharactersWithSpaces>4626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2024-05-16T07:32:00Z</dcterms:created>
  <dc:creator>Jasmine</dc:creator>
  <cp:lastModifiedBy>Jasmine</cp:lastModifiedBy>
  <dcterms:modified xsi:type="dcterms:W3CDTF">2025-06-20T09:03:18Z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CE619C939B7C4D25A0F97973FD6C34B2_13</vt:lpwstr>
  </property>
  <property fmtid="{D5CDD505-2E9C-101B-9397-08002B2CF9AE}" pid="4" name="KSOTemplateDocerSaveRecord">
    <vt:lpwstr>eyJoZGlkIjoiNzc1YTgzOGYwYWQzODY3ZWUxZmE3MjAxZjg4ZDViY2YiLCJ1c2VySWQiOiI0NDU5NjQyMzgifQ==</vt:lpwstr>
  </property>
</Properties>
</file>