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版本号：ZX2025-06-2120250617001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西安市新城区2025年“家门口”就业专项招聘活动项目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ZX2025-06-21</w:t>
      </w:r>
      <w:r>
        <w:br/>
      </w:r>
      <w:r>
        <w:br/>
      </w:r>
      <w:r>
        <w:br/>
      </w:r>
    </w:p>
    <w:p>
      <w:pPr>
        <w:pStyle w:val="null3"/>
        <w:jc w:val="center"/>
        <w:outlineLvl w:val="2"/>
      </w:pPr>
      <w:r>
        <w:rPr>
          <w:rFonts w:ascii="仿宋_GB2312" w:hAnsi="仿宋_GB2312" w:cs="仿宋_GB2312" w:eastAsia="仿宋_GB2312"/>
          <w:sz w:val="28"/>
          <w:b/>
        </w:rPr>
        <w:t>西安市新城区人力资源和社会保障局</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西安市新城区人力资源和社会保障局</w:t>
      </w:r>
      <w:r>
        <w:rPr>
          <w:rFonts w:ascii="仿宋_GB2312" w:hAnsi="仿宋_GB2312" w:cs="仿宋_GB2312" w:eastAsia="仿宋_GB2312"/>
        </w:rPr>
        <w:t>委托，拟对</w:t>
      </w:r>
      <w:r>
        <w:rPr>
          <w:rFonts w:ascii="仿宋_GB2312" w:hAnsi="仿宋_GB2312" w:cs="仿宋_GB2312" w:eastAsia="仿宋_GB2312"/>
        </w:rPr>
        <w:t>西安市新城区2025年“家门口”就业专项招聘活动项目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ZX2025-06-21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西安市新城区2025年“家门口”就业专项招聘活动项目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切实提升居民的就业率和就业质量，增强居民的获得感和幸福感，新城区人社局特启动2025年“家门口”就业专项招聘活动，旨在整合各方资源，通过开展一系列精准、高效、多样化的就业服务活动，将就业机会、就业服务和就业指导精准送到居民家门口，打通就业服务的“最后一公里”，实现居民就业增收与企业人才需求的双赢局面，推动新城区经济社会的高质量发展与和谐稳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采购包1（西安市新城区2025年“家门口”就业专项招聘活动项目）：属于专门面向中小企业采购。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2、本项目不接受联合体磋商，不允许分包：本项目不接受联合体磋商，不允许分包。供应商应提供《非联合体不分包投标声明》。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西安市新城区尚德路115号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029-83240121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张浥清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西安市新城区人力资源和社会保障局</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西安市新城区人力资源和社会保障局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切实提升居民的就业率和就业质量，增强居民的获得感和幸福感，新城区人社局特启动2025年“家门口”就业专项招聘活动，旨在整合各方资源，通过开展一系列精准、高效、多样化的就业服务活动，将就业机会、就业服务和就业指导精准送到居民家门口，打通就业服务的“最后一公里”，实现居民就业增收与企业人才需求的双赢局面，推动新城区经济社会的高质量发展与和谐稳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1,950,000.00</w:t>
      </w:r>
    </w:p>
    <w:p>
      <w:pPr>
        <w:pStyle w:val="null3"/>
      </w:pPr>
      <w:r>
        <w:rPr>
          <w:rFonts w:ascii="仿宋_GB2312" w:hAnsi="仿宋_GB2312" w:cs="仿宋_GB2312" w:eastAsia="仿宋_GB2312"/>
        </w:rPr>
        <w:t>采购包最高限价（元）: 1,950,000.00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“家门口”就业专项招聘活动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标的名称：“家门口”就业专项招聘活动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rPr>
              <w:t>一、项目背景与目的</w:t>
            </w:r>
          </w:p>
          <w:p>
            <w:pPr>
              <w:pStyle w:val="null3"/>
            </w:pPr>
            <w:r>
              <w:rPr>
                <w:rFonts w:ascii="仿宋_GB2312" w:hAnsi="仿宋_GB2312" w:cs="仿宋_GB2312" w:eastAsia="仿宋_GB2312"/>
              </w:rPr>
              <w:t>为切实提升居民的就业率和就业质量，增强居民的获得感和幸福感，新城区人社局特启动2025年“家门口”就业专项招聘活动，旨在整合各方资源，通过开展一系列精准、高效、多样化的就业服务活动，将就业机会、就业服务和就业指导精准送到居民家门口，打通就业服务的“最后一公里”，实现居民就业增收与企业人才需求的双赢局面，推动新城区经济社会的高质量发展与和谐稳定。</w:t>
            </w:r>
          </w:p>
          <w:p>
            <w:pPr>
              <w:pStyle w:val="null3"/>
            </w:pPr>
            <w:r>
              <w:rPr>
                <w:rFonts w:ascii="仿宋_GB2312" w:hAnsi="仿宋_GB2312" w:cs="仿宋_GB2312" w:eastAsia="仿宋_GB2312"/>
              </w:rPr>
              <w:t>二、采购服务内容</w:t>
            </w:r>
          </w:p>
          <w:p>
            <w:pPr>
              <w:pStyle w:val="null3"/>
            </w:pPr>
            <w:r>
              <w:rPr>
                <w:rFonts w:ascii="仿宋_GB2312" w:hAnsi="仿宋_GB2312" w:cs="仿宋_GB2312" w:eastAsia="仿宋_GB2312"/>
              </w:rPr>
              <w:t>1.现场招聘会</w:t>
            </w:r>
          </w:p>
          <w:p>
            <w:pPr>
              <w:pStyle w:val="null3"/>
            </w:pPr>
            <w:r>
              <w:rPr>
                <w:rFonts w:ascii="仿宋_GB2312" w:hAnsi="仿宋_GB2312" w:cs="仿宋_GB2312" w:eastAsia="仿宋_GB2312"/>
              </w:rPr>
              <w:t>以重点群体、重点企业为服务对象，组织开展家门口就业招聘会、纳凉夜市专场招聘会、退役军人专场招聘会、金秋招聘月、暖冬行动等各类现场招聘会不少于50场，根据活动规模，每场参会企业为15-30家，供应商需要提供以下服务：</w:t>
            </w:r>
          </w:p>
          <w:p>
            <w:pPr>
              <w:pStyle w:val="null3"/>
            </w:pPr>
            <w:r>
              <w:rPr>
                <w:rFonts w:ascii="仿宋_GB2312" w:hAnsi="仿宋_GB2312" w:cs="仿宋_GB2312" w:eastAsia="仿宋_GB2312"/>
              </w:rPr>
              <w:t>（1）活动策划：根据活动具体要求策划活动实施方案。</w:t>
            </w:r>
          </w:p>
          <w:p>
            <w:pPr>
              <w:pStyle w:val="null3"/>
            </w:pPr>
            <w:r>
              <w:rPr>
                <w:rFonts w:ascii="仿宋_GB2312" w:hAnsi="仿宋_GB2312" w:cs="仿宋_GB2312" w:eastAsia="仿宋_GB2312"/>
              </w:rPr>
              <w:t>（2）设计：根据活动规模和场地特点，设计现场布局方案及相关活动物料。</w:t>
            </w:r>
          </w:p>
          <w:p>
            <w:pPr>
              <w:pStyle w:val="null3"/>
            </w:pPr>
            <w:r>
              <w:rPr>
                <w:rFonts w:ascii="仿宋_GB2312" w:hAnsi="仿宋_GB2312" w:cs="仿宋_GB2312" w:eastAsia="仿宋_GB2312"/>
              </w:rPr>
              <w:t>（3）企业邀约：邀约符合活动主题的参会单位，负责企业资质审核、招聘简章的收集及整理。</w:t>
            </w:r>
          </w:p>
          <w:p>
            <w:pPr>
              <w:pStyle w:val="null3"/>
            </w:pPr>
            <w:r>
              <w:rPr>
                <w:rFonts w:ascii="仿宋_GB2312" w:hAnsi="仿宋_GB2312" w:cs="仿宋_GB2312" w:eastAsia="仿宋_GB2312"/>
              </w:rPr>
              <w:t>（4）物料制作及现场搭建：负责制作活动所需物料，并进行现场搭建，包含桁架、帐篷、桌椅、桌布、海报、门楣、桌牌、横幅、参会证、工作证等。</w:t>
            </w:r>
          </w:p>
          <w:p>
            <w:pPr>
              <w:pStyle w:val="null3"/>
            </w:pPr>
            <w:r>
              <w:rPr>
                <w:rFonts w:ascii="仿宋_GB2312" w:hAnsi="仿宋_GB2312" w:cs="仿宋_GB2312" w:eastAsia="仿宋_GB2312"/>
              </w:rPr>
              <w:t>（5）建立并运营“家门口就业服务群”，定期推送招聘会资讯、岗位信息、就业政策、技能培训课程等内容。</w:t>
            </w:r>
          </w:p>
          <w:p>
            <w:pPr>
              <w:pStyle w:val="null3"/>
            </w:pPr>
            <w:r>
              <w:rPr>
                <w:rFonts w:ascii="仿宋_GB2312" w:hAnsi="仿宋_GB2312" w:cs="仿宋_GB2312" w:eastAsia="仿宋_GB2312"/>
              </w:rPr>
              <w:t>（6）活动宣传：活动前期通过新闻媒体、自媒体、官方网站等多渠道发布活动预告；活动期间安排专人进行现场摄影摄像，实时记录活动精彩瞬间，剪辑制作短视频、图文报道等；活动后期发布活动总结报告，进行跟踪回访服务展示成果数据。</w:t>
            </w:r>
          </w:p>
          <w:p>
            <w:pPr>
              <w:pStyle w:val="null3"/>
            </w:pPr>
            <w:r>
              <w:rPr>
                <w:rFonts w:ascii="仿宋_GB2312" w:hAnsi="仿宋_GB2312" w:cs="仿宋_GB2312" w:eastAsia="仿宋_GB2312"/>
              </w:rPr>
              <w:t>（7）现场服务：负责活动现场企业及个人服务，现场提供1-2名专业就业指导老师为求职者提供“一对一”职业规划、简历优化、面试技巧等个性化指导。</w:t>
            </w:r>
          </w:p>
          <w:p>
            <w:pPr>
              <w:pStyle w:val="null3"/>
            </w:pPr>
            <w:r>
              <w:rPr>
                <w:rFonts w:ascii="仿宋_GB2312" w:hAnsi="仿宋_GB2312" w:cs="仿宋_GB2312" w:eastAsia="仿宋_GB2312"/>
              </w:rPr>
              <w:t>2.网络招聘会</w:t>
            </w:r>
          </w:p>
          <w:p>
            <w:pPr>
              <w:pStyle w:val="null3"/>
            </w:pPr>
            <w:r>
              <w:rPr>
                <w:rFonts w:ascii="仿宋_GB2312" w:hAnsi="仿宋_GB2312" w:cs="仿宋_GB2312" w:eastAsia="仿宋_GB2312"/>
              </w:rPr>
              <w:t>全年组织不少于15场大型网络招聘会，每场网络招聘会持续时间不少于5天。供应商需要提供以下服务：</w:t>
            </w:r>
          </w:p>
          <w:p>
            <w:pPr>
              <w:pStyle w:val="null3"/>
            </w:pPr>
            <w:r>
              <w:rPr>
                <w:rFonts w:ascii="仿宋_GB2312" w:hAnsi="仿宋_GB2312" w:cs="仿宋_GB2312" w:eastAsia="仿宋_GB2312"/>
              </w:rPr>
              <w:t>（1）平台建设与维护：搭建专门的网络招聘平台，平台应具备用户注册登录、企业招聘信息发布、岗位搜索查询、简历投递、在线沟通、视频面试等功能模块，界面简洁明了、操作便捷。</w:t>
            </w:r>
          </w:p>
          <w:p>
            <w:pPr>
              <w:pStyle w:val="null3"/>
            </w:pPr>
            <w:r>
              <w:rPr>
                <w:rFonts w:ascii="仿宋_GB2312" w:hAnsi="仿宋_GB2312" w:cs="仿宋_GB2312" w:eastAsia="仿宋_GB2312"/>
              </w:rPr>
              <w:t>（2）负责网络招聘平台的维护和技术支持，确保平台的稳定运行和数据安全。</w:t>
            </w:r>
          </w:p>
          <w:p>
            <w:pPr>
              <w:pStyle w:val="null3"/>
            </w:pPr>
            <w:r>
              <w:rPr>
                <w:rFonts w:ascii="仿宋_GB2312" w:hAnsi="仿宋_GB2312" w:cs="仿宋_GB2312" w:eastAsia="仿宋_GB2312"/>
              </w:rPr>
              <w:t>（3）企业邀约：广泛邀请企业参加网络招聘会，对企业资质进行严格审核，确保企业的合法性和规范性。为企业提供注册指导等服务，帮助企业熟悉平台功能，及时发布和更新招聘岗位信息。</w:t>
            </w:r>
          </w:p>
          <w:p>
            <w:pPr>
              <w:pStyle w:val="null3"/>
            </w:pPr>
            <w:r>
              <w:rPr>
                <w:rFonts w:ascii="仿宋_GB2312" w:hAnsi="仿宋_GB2312" w:cs="仿宋_GB2312" w:eastAsia="仿宋_GB2312"/>
              </w:rPr>
              <w:t>（4）求职者服务与互动：为求职者提供网络求职指导，包括平台注册登录、简历填写、岗位搜索、在线沟通等方面的帮助和支持，引导求职者正确使用网络招聘平台进行求职。</w:t>
            </w:r>
          </w:p>
          <w:p>
            <w:pPr>
              <w:pStyle w:val="null3"/>
            </w:pPr>
            <w:r>
              <w:rPr>
                <w:rFonts w:ascii="仿宋_GB2312" w:hAnsi="仿宋_GB2312" w:cs="仿宋_GB2312" w:eastAsia="仿宋_GB2312"/>
              </w:rPr>
              <w:t>（5）负责网络招聘会的前后期广泛宣传。</w:t>
            </w:r>
          </w:p>
          <w:p>
            <w:pPr>
              <w:pStyle w:val="null3"/>
            </w:pPr>
            <w:r>
              <w:rPr>
                <w:rFonts w:ascii="仿宋_GB2312" w:hAnsi="仿宋_GB2312" w:cs="仿宋_GB2312" w:eastAsia="仿宋_GB2312"/>
              </w:rPr>
              <w:t>3.就业指导活动</w:t>
            </w:r>
          </w:p>
          <w:p>
            <w:pPr>
              <w:pStyle w:val="null3"/>
            </w:pPr>
            <w:r>
              <w:rPr>
                <w:rFonts w:ascii="仿宋_GB2312" w:hAnsi="仿宋_GB2312" w:cs="仿宋_GB2312" w:eastAsia="仿宋_GB2312"/>
              </w:rPr>
              <w:t>全年举办不少于14场就业指导活动，包括但不限于就业技能培训讲座、职业规划辅导、心理调适讲座、职场技能培训等主题。供应商需要提供以下服务：</w:t>
            </w:r>
          </w:p>
          <w:p>
            <w:pPr>
              <w:pStyle w:val="null3"/>
            </w:pPr>
            <w:r>
              <w:rPr>
                <w:rFonts w:ascii="仿宋_GB2312" w:hAnsi="仿宋_GB2312" w:cs="仿宋_GB2312" w:eastAsia="仿宋_GB2312"/>
              </w:rPr>
              <w:t>（1）课程设计与师资安排：根据不同的就业指导活动主题和目标人群，设计科学合理、实用有效的课程内容和教学大纲，邀请具有丰富教学经验和专业背景的就业专家、资深人力资源从业者、职业培训讲师等担任授课教师。</w:t>
            </w:r>
          </w:p>
          <w:p>
            <w:pPr>
              <w:pStyle w:val="null3"/>
            </w:pPr>
            <w:r>
              <w:rPr>
                <w:rFonts w:ascii="仿宋_GB2312" w:hAnsi="仿宋_GB2312" w:cs="仿宋_GB2312" w:eastAsia="仿宋_GB2312"/>
              </w:rPr>
              <w:t>（2）活动组织与实施：负责就业指导活动的场地沟通、设备调试、资料准备等前期筹备工作，确保活动顺利开展。在活动现场，安排工作人员进行签到引导、秩序维护、设备操作等服务，保障活动的正常进行。同时，对每次就业指导活动进行效果评估和反馈收集，根据反馈意见及时调整和改进活动内容和形式。</w:t>
            </w:r>
          </w:p>
          <w:p>
            <w:pPr>
              <w:pStyle w:val="null3"/>
            </w:pPr>
            <w:r>
              <w:rPr>
                <w:rFonts w:ascii="仿宋_GB2312" w:hAnsi="仿宋_GB2312" w:cs="仿宋_GB2312" w:eastAsia="仿宋_GB2312"/>
              </w:rPr>
              <w:t>4.离校未就业高校毕业生实名就业帮扶（1131就业帮扶）</w:t>
            </w:r>
          </w:p>
          <w:p>
            <w:pPr>
              <w:pStyle w:val="null3"/>
            </w:pPr>
            <w:r>
              <w:rPr>
                <w:rFonts w:ascii="仿宋_GB2312" w:hAnsi="仿宋_GB2312" w:cs="仿宋_GB2312" w:eastAsia="仿宋_GB2312"/>
              </w:rPr>
              <w:t>依托离校未就业高校毕业生登记系统，对新城区离校未就业高校毕业生集中开展帮扶，提供“1131”就业帮扶服务（即至少1次政策宣介、1次职业指导、3次岗位推介、1次技能培训或就业见习机会），并做好信息统计及系统录入。</w:t>
            </w:r>
          </w:p>
          <w:p>
            <w:pPr>
              <w:pStyle w:val="null3"/>
            </w:pPr>
            <w:r>
              <w:rPr>
                <w:rFonts w:ascii="仿宋_GB2312" w:hAnsi="仿宋_GB2312" w:cs="仿宋_GB2312" w:eastAsia="仿宋_GB2312"/>
              </w:rPr>
              <w:t xml:space="preserve"> 服务团队应具备丰富的就业服务经验和专业的服务能力，服务过程应规范、透明，接受采购人的监督和评估。服务成果应达到预期目标，11月底前完成离校未就业高校毕业生就业帮扶率90%以上，困难毕业生帮扶就业率100%；项目执行过程中需定期进行进度汇总，整理帮扶案例，对于残疾等特殊困难毕业生，提供上门帮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质量保证期：自项目实施之日起至项目结束。 知识产权归属和处理方式： 1、供应商应保证在本项目使用的任何产品和服务（包括部分使用）时，不会产生因第三方提出侵犯其专利权、商标权或其他知识产权而引起的法律和经济纠纷，如因专利权、商标权或其他知识产权而引起法律纠纷和经济纠纷，由供应商承担所有相关责任。 2、采购人享有本项目在实施过程中产生的知识成果及知识产权。 3、供应商若在项目实施过程中采用自有知识成果，需在磋商响应文件中声明，并提供相关知识产权证明文件。使用该知识成果后，供应商须提供开发接口和开发手册等技术文档，并承诺提供无限期技术支持，采购人享有永久使用权。 4、供应商若在项目实施过程中采用非自有知识产权，则在响应报价中必须包括合法获取该知识产权的相关费用。 5、供应商保证所交付的服务和服务所涉及的物品所有权无任何抵押、查封等权利瑕疵。</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西安市新城区人力资源和社会保障局指定地点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1、参照《财政部关于进一步加强政府采购需求和履约验收管理的指导意见》(财库(2016) 205号，经采购人组织验收。 2、①供应商应按磋商文件规定及响应文件承诺的技术性能、技术要求、质量标准向采购人提供服务；若无特殊说明，则按国家有关部门最新颁布的标准及规范为准。 ②供应商应保证其提供的服务是全面和规范的，并完全符合磋商文件及响应文件。如因供应商提供的服务有瑕疵造成采购人损失的，所需费用由供应商承担。 ③合同履行期内，供应商应对所提供服务出现的质量及安全问题负责处理解决并承担一切费用。</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项目内容完成后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可采取向甲方所在地仲裁委员会按其仲裁规则申请仲裁或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贰份纸质版响应文件并密封。若线上电子响应文件与纸质响应文件不一致的，以线上电子响应文件为准。 线下递交文件截止时间：详见本项目采购公告响应文件提交递交截止时间；线下递交文件地点：西安市莲湖区环城西路南段元晟合中心6层。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③社会保障资金缴纳证明：提供自2024年6月1日以来至少一个月已缴纳的社会保障资金的证明（社会保障资金缴存单据或社保机构开具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响应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2资格证明文件.docx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(1)响应文件未按照磋商文件规定要求签署、盖章的；(2)报价超过磋商文件中规定的预算金额或最高限价的； （3）不满足本磋商文件中“服务期限、服务地点、支付方式、支付约定”的实质性条款要求的； (4)响应有效期不足的或无有效期的； (5)法律、法规和磋商文件规定的其他无效情形。</w:t>
            </w:r>
          </w:p>
        </w:tc>
        <w:tc>
          <w:tcPr>
            <w:tcW w:type="dxa" w:w="1661"/>
          </w:tcPr>
          <w:p>
            <w:pPr>
              <w:pStyle w:val="null3"/>
            </w:pPr>
            <w:r>
              <w:rPr>
                <w:rFonts w:ascii="仿宋_GB2312" w:hAnsi="仿宋_GB2312" w:cs="仿宋_GB2312" w:eastAsia="仿宋_GB2312"/>
              </w:rPr>
              <w:t>2资格证明文件.docx 服务内容及服务邀请应答表 中小企业声明函 商务应答表 报价表 响应文件封面 13其他资料.docx 残疾人福利性单位声明函 标的清单 1分项价格表.docx 3承诺书.docx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供应商针对本项目工作目的、内容的理解是否清晰。能否清晰描述本次工作任务目标，对项目把握是否准确进行评审。 满足磋商文件要求，无瑕疵：8分； 内容存在1处瑕疵：7分； 内容存在2处瑕疵：6分； 内容存在3处瑕疵：5分； 内容存在4处瑕疵：4分； 内容存在5处瑕疵：3分； 内容存在6处瑕疵：2分； 内容存在7处瑕疵：1分； 未提供或内容存在8处及以上瑕疵：0分。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审标准中关于“瑕疵”的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4需求分析.docx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提供切实可行的针对本项目的整体服务方案，包括①服务目标、范围②服务方案及策略③服务标准④进度安排及保证⑤硬件设施配备等。方案须全面，对评审内容中的各项要求描述详细，且实施步骤清晰合理，具有针对性。 满足磋商文件要求，无瑕疵：10分；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供应商提供针对本项目的工作流程。 满足磋商文件要求，无瑕疵：10分；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5工作流程.docx</w:t>
            </w:r>
          </w:p>
        </w:tc>
      </w:tr>
      <w:tr>
        <w:tc>
          <w:tcPr>
            <w:tcW w:type="dxa" w:w="831"/>
            <w:vMerge/>
          </w:tcPr>
          <w:p/>
        </w:tc>
        <w:tc>
          <w:tcPr>
            <w:tcW w:type="dxa" w:w="1661"/>
          </w:tcPr>
          <w:p>
            <w:pPr>
              <w:pStyle w:val="null3"/>
            </w:pPr>
            <w:r>
              <w:rPr>
                <w:rFonts w:ascii="仿宋_GB2312" w:hAnsi="仿宋_GB2312" w:cs="仿宋_GB2312" w:eastAsia="仿宋_GB2312"/>
              </w:rPr>
              <w:t>媒体宣传方案</w:t>
            </w:r>
          </w:p>
        </w:tc>
        <w:tc>
          <w:tcPr>
            <w:tcW w:type="dxa" w:w="2492"/>
          </w:tcPr>
          <w:p>
            <w:pPr>
              <w:pStyle w:val="null3"/>
            </w:pPr>
            <w:r>
              <w:rPr>
                <w:rFonts w:ascii="仿宋_GB2312" w:hAnsi="仿宋_GB2312" w:cs="仿宋_GB2312" w:eastAsia="仿宋_GB2312"/>
              </w:rPr>
              <w:t>供应商提供针对本项目开展配合媒体宣传方案，包括①本地知名媒体及各类官方媒体宣传配合方案②社交平台宣传方案（政策宣传小视频制作，微信公众号、抖音、微博等），方案须科学合理、切实可行。 满足磋商文件要求，无瑕疵：8分；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6媒体宣传方案.docx</w:t>
            </w:r>
          </w:p>
        </w:tc>
      </w:tr>
      <w:tr>
        <w:tc>
          <w:tcPr>
            <w:tcW w:type="dxa" w:w="831"/>
            <w:vMerge/>
          </w:tcPr>
          <w:p/>
        </w:tc>
        <w:tc>
          <w:tcPr>
            <w:tcW w:type="dxa" w:w="1661"/>
          </w:tcPr>
          <w:p>
            <w:pPr>
              <w:pStyle w:val="null3"/>
            </w:pPr>
            <w:r>
              <w:rPr>
                <w:rFonts w:ascii="仿宋_GB2312" w:hAnsi="仿宋_GB2312" w:cs="仿宋_GB2312" w:eastAsia="仿宋_GB2312"/>
              </w:rPr>
              <w:t>设施设备清单</w:t>
            </w:r>
          </w:p>
        </w:tc>
        <w:tc>
          <w:tcPr>
            <w:tcW w:type="dxa" w:w="2492"/>
          </w:tcPr>
          <w:p>
            <w:pPr>
              <w:pStyle w:val="null3"/>
            </w:pPr>
            <w:r>
              <w:rPr>
                <w:rFonts w:ascii="仿宋_GB2312" w:hAnsi="仿宋_GB2312" w:cs="仿宋_GB2312" w:eastAsia="仿宋_GB2312"/>
              </w:rPr>
              <w:t>提供针对本项目拟配备的设施设备清单，根据清单内容是否完整合理进行赋分。 满足磋商文件要求，无瑕疵：8分；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7设施设备清单.docx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根据供应商拟投入本项目的人员配备方案，有项目负责人、有专业的策划、宣传、服务、执行以及收尾团队；项目负责人具有较强的专业程度、一定的工作年限及经验。提供团队成员配备情况明细表及拟配备服务人员的简历介绍，包括人员的年龄、学历、专业、工作履历等信息。 满足磋商文件要求，无瑕疵：4分； 方案内容存在1处瑕疵：3分； 方案内容存在2处瑕疵：2分； 方案内容存在3处瑕疵：1分； 未提供或不满足磋商文件要求或内容存在4处及以上瑕疵：0分。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8人员配备方案.docx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供应商提供针对本项目的质量保障措施，能做到机构健全，工作信息收集、监督、反馈渠道及措施明确。 满足磋商文件要求，无瑕疵：8分；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9质量保障措施.docx</w:t>
            </w:r>
          </w:p>
        </w:tc>
      </w:tr>
      <w:tr>
        <w:tc>
          <w:tcPr>
            <w:tcW w:type="dxa" w:w="831"/>
            <w:vMerge/>
          </w:tcPr>
          <w:p/>
        </w:tc>
        <w:tc>
          <w:tcPr>
            <w:tcW w:type="dxa" w:w="1661"/>
          </w:tcPr>
          <w:p>
            <w:pPr>
              <w:pStyle w:val="null3"/>
            </w:pPr>
            <w:r>
              <w:rPr>
                <w:rFonts w:ascii="仿宋_GB2312" w:hAnsi="仿宋_GB2312" w:cs="仿宋_GB2312" w:eastAsia="仿宋_GB2312"/>
              </w:rPr>
              <w:t>风险应对措施</w:t>
            </w:r>
          </w:p>
        </w:tc>
        <w:tc>
          <w:tcPr>
            <w:tcW w:type="dxa" w:w="2492"/>
          </w:tcPr>
          <w:p>
            <w:pPr>
              <w:pStyle w:val="null3"/>
            </w:pPr>
            <w:r>
              <w:rPr>
                <w:rFonts w:ascii="仿宋_GB2312" w:hAnsi="仿宋_GB2312" w:cs="仿宋_GB2312" w:eastAsia="仿宋_GB2312"/>
              </w:rPr>
              <w:t>供应商提供风险应对措施，包括数据保密与安全措施、法律合规风险、人员操作风险等。 满足磋商文件要求，无瑕疵：8分；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10风险应对措施.docx</w:t>
            </w:r>
          </w:p>
        </w:tc>
      </w:tr>
      <w:tr>
        <w:tc>
          <w:tcPr>
            <w:tcW w:type="dxa" w:w="831"/>
            <w:vMerge/>
          </w:tcPr>
          <w:p/>
        </w:tc>
        <w:tc>
          <w:tcPr>
            <w:tcW w:type="dxa" w:w="1661"/>
          </w:tcPr>
          <w:p>
            <w:pPr>
              <w:pStyle w:val="null3"/>
            </w:pPr>
            <w:r>
              <w:rPr>
                <w:rFonts w:ascii="仿宋_GB2312" w:hAnsi="仿宋_GB2312" w:cs="仿宋_GB2312" w:eastAsia="仿宋_GB2312"/>
              </w:rPr>
              <w:t>突发事件解决方案</w:t>
            </w:r>
          </w:p>
        </w:tc>
        <w:tc>
          <w:tcPr>
            <w:tcW w:type="dxa" w:w="2492"/>
          </w:tcPr>
          <w:p>
            <w:pPr>
              <w:pStyle w:val="null3"/>
            </w:pPr>
            <w:r>
              <w:rPr>
                <w:rFonts w:ascii="仿宋_GB2312" w:hAnsi="仿宋_GB2312" w:cs="仿宋_GB2312" w:eastAsia="仿宋_GB2312"/>
              </w:rPr>
              <w:t>供应商提供针对数据丢失、设备故障及其他突发事件提出具体且具有针对性的预防与应对办法。 满足磋商文件要求，无瑕疵：8分；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11突发事件解决方案.docx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供应商提供针对本项目的切实的增值服务，每提供一个经磋商小组一致认定的切实、可行性强的增值服务计2分，满分4分。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12增值服务、合理化建议、整改承诺、业绩.docx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供应商提供针对本项目的合理化建议，每提供一个经磋商小组一致认定的完整合理、可行性强的合理化建议计2分，满分4分。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12增值服务、合理化建议、整改承诺、业绩.docx</w:t>
            </w:r>
          </w:p>
        </w:tc>
      </w:tr>
      <w:tr>
        <w:tc>
          <w:tcPr>
            <w:tcW w:type="dxa" w:w="831"/>
            <w:vMerge/>
          </w:tcPr>
          <w:p/>
        </w:tc>
        <w:tc>
          <w:tcPr>
            <w:tcW w:type="dxa" w:w="1661"/>
          </w:tcPr>
          <w:p>
            <w:pPr>
              <w:pStyle w:val="null3"/>
            </w:pPr>
            <w:r>
              <w:rPr>
                <w:rFonts w:ascii="仿宋_GB2312" w:hAnsi="仿宋_GB2312" w:cs="仿宋_GB2312" w:eastAsia="仿宋_GB2312"/>
              </w:rPr>
              <w:t>整改承诺</w:t>
            </w:r>
          </w:p>
        </w:tc>
        <w:tc>
          <w:tcPr>
            <w:tcW w:type="dxa" w:w="2492"/>
          </w:tcPr>
          <w:p>
            <w:pPr>
              <w:pStyle w:val="null3"/>
            </w:pPr>
            <w:r>
              <w:rPr>
                <w:rFonts w:ascii="仿宋_GB2312" w:hAnsi="仿宋_GB2312" w:cs="仿宋_GB2312" w:eastAsia="仿宋_GB2312"/>
              </w:rPr>
              <w:t>供应商对采购人提出的意见和建议，要认真及时加以整改，承诺若出现不符合工作要求的服务人员，须根据采购人要求及时进行更换、补充。承诺完整计2分；未提供或不完整均不计分。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12增值服务、合理化建议、整改承诺、业绩.docx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供应商从2022年1月1日以来（以合同签订日期为准）同类项目业绩，每提供一个1个计2分，最高得8分。 注：提供合同复印件加盖公章。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12增值服务、合理化建议、整改承诺、业绩.docx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即满足磋商文件要求且价格最低的磋商报价为评标基准价，其价格分为满分。其他供应商的价格分统一按照下列公式计算：价格分= (评标基准价／磋商报价)×报价分值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详见附件：4需求分析.docx</w:t>
      </w:r>
    </w:p>
    <w:p>
      <w:pPr>
        <w:pStyle w:val="null3"/>
        <w:ind w:firstLine="960"/>
      </w:pPr>
      <w:r>
        <w:rPr>
          <w:rFonts w:ascii="仿宋_GB2312" w:hAnsi="仿宋_GB2312" w:cs="仿宋_GB2312" w:eastAsia="仿宋_GB2312"/>
        </w:rPr>
        <w:t>详见附件：5工作流程.docx</w:t>
      </w:r>
    </w:p>
    <w:p>
      <w:pPr>
        <w:pStyle w:val="null3"/>
        <w:ind w:firstLine="960"/>
      </w:pPr>
      <w:r>
        <w:rPr>
          <w:rFonts w:ascii="仿宋_GB2312" w:hAnsi="仿宋_GB2312" w:cs="仿宋_GB2312" w:eastAsia="仿宋_GB2312"/>
        </w:rPr>
        <w:t>详见附件：6媒体宣传方案.docx</w:t>
      </w:r>
    </w:p>
    <w:p>
      <w:pPr>
        <w:pStyle w:val="null3"/>
        <w:ind w:firstLine="960"/>
      </w:pPr>
      <w:r>
        <w:rPr>
          <w:rFonts w:ascii="仿宋_GB2312" w:hAnsi="仿宋_GB2312" w:cs="仿宋_GB2312" w:eastAsia="仿宋_GB2312"/>
        </w:rPr>
        <w:t>详见附件：7设施设备清单.docx</w:t>
      </w:r>
    </w:p>
    <w:p>
      <w:pPr>
        <w:pStyle w:val="null3"/>
        <w:ind w:firstLine="960"/>
      </w:pPr>
      <w:r>
        <w:rPr>
          <w:rFonts w:ascii="仿宋_GB2312" w:hAnsi="仿宋_GB2312" w:cs="仿宋_GB2312" w:eastAsia="仿宋_GB2312"/>
        </w:rPr>
        <w:t>详见附件：8人员配备方案.docx</w:t>
      </w:r>
    </w:p>
    <w:p>
      <w:pPr>
        <w:pStyle w:val="null3"/>
        <w:ind w:firstLine="960"/>
      </w:pPr>
      <w:r>
        <w:rPr>
          <w:rFonts w:ascii="仿宋_GB2312" w:hAnsi="仿宋_GB2312" w:cs="仿宋_GB2312" w:eastAsia="仿宋_GB2312"/>
        </w:rPr>
        <w:t>详见附件：9质量保障措施.docx</w:t>
      </w:r>
    </w:p>
    <w:p>
      <w:pPr>
        <w:pStyle w:val="null3"/>
        <w:ind w:firstLine="960"/>
      </w:pPr>
      <w:r>
        <w:rPr>
          <w:rFonts w:ascii="仿宋_GB2312" w:hAnsi="仿宋_GB2312" w:cs="仿宋_GB2312" w:eastAsia="仿宋_GB2312"/>
        </w:rPr>
        <w:t>详见附件：10风险应对措施.docx</w:t>
      </w:r>
    </w:p>
    <w:p>
      <w:pPr>
        <w:pStyle w:val="null3"/>
        <w:ind w:firstLine="960"/>
      </w:pPr>
      <w:r>
        <w:rPr>
          <w:rFonts w:ascii="仿宋_GB2312" w:hAnsi="仿宋_GB2312" w:cs="仿宋_GB2312" w:eastAsia="仿宋_GB2312"/>
        </w:rPr>
        <w:t>详见附件：11突发事件解决方案.docx</w:t>
      </w:r>
    </w:p>
    <w:p>
      <w:pPr>
        <w:pStyle w:val="null3"/>
        <w:ind w:firstLine="960"/>
      </w:pPr>
      <w:r>
        <w:rPr>
          <w:rFonts w:ascii="仿宋_GB2312" w:hAnsi="仿宋_GB2312" w:cs="仿宋_GB2312" w:eastAsia="仿宋_GB2312"/>
        </w:rPr>
        <w:t>详见附件：12增值服务、合理化建议、整改承诺、业绩.docx</w:t>
      </w:r>
    </w:p>
    <w:p>
      <w:pPr>
        <w:pStyle w:val="null3"/>
        <w:ind w:firstLine="960"/>
      </w:pPr>
      <w:r>
        <w:rPr>
          <w:rFonts w:ascii="仿宋_GB2312" w:hAnsi="仿宋_GB2312" w:cs="仿宋_GB2312" w:eastAsia="仿宋_GB2312"/>
        </w:rPr>
        <w:t>详见附件：13其他资料.docx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