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版本号：DDXM2025-05220250621001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昆仑社区2025年国家级嵌入式试点社区提升改造项目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DDXM2025-052</w:t>
      </w:r>
      <w:r>
        <w:br/>
      </w:r>
      <w:r>
        <w:br/>
      </w:r>
      <w:r>
        <w:br/>
      </w:r>
    </w:p>
    <w:p>
      <w:pPr>
        <w:pStyle w:val="null3"/>
        <w:jc w:val="center"/>
        <w:outlineLvl w:val="2"/>
      </w:pPr>
      <w:r>
        <w:rPr>
          <w:rFonts w:ascii="仿宋_GB2312" w:hAnsi="仿宋_GB2312" w:cs="仿宋_GB2312" w:eastAsia="仿宋_GB2312"/>
          <w:sz w:val="28"/>
          <w:b/>
        </w:rPr>
        <w:t>西安市新城区长乐中路街道办事处</w:t>
      </w:r>
    </w:p>
    <w:p>
      <w:pPr>
        <w:pStyle w:val="null3"/>
        <w:jc w:val="center"/>
        <w:outlineLvl w:val="2"/>
      </w:pPr>
      <w:r>
        <w:rPr>
          <w:rFonts w:ascii="仿宋_GB2312" w:hAnsi="仿宋_GB2312" w:cs="仿宋_GB2312" w:eastAsia="仿宋_GB2312"/>
          <w:sz w:val="28"/>
          <w:b/>
        </w:rPr>
        <w:t>陕西鼎端项目管理咨询有限公司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陕西鼎端项目管理咨询有限公司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西安市新城区长乐中路街道办事处</w:t>
      </w:r>
      <w:r>
        <w:rPr>
          <w:rFonts w:ascii="仿宋_GB2312" w:hAnsi="仿宋_GB2312" w:cs="仿宋_GB2312" w:eastAsia="仿宋_GB2312"/>
        </w:rPr>
        <w:t>委托，拟对</w:t>
      </w:r>
      <w:r>
        <w:rPr>
          <w:rFonts w:ascii="仿宋_GB2312" w:hAnsi="仿宋_GB2312" w:cs="仿宋_GB2312" w:eastAsia="仿宋_GB2312"/>
        </w:rPr>
        <w:t>昆仑社区2025年国家级嵌入式试点社区提升改造项目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DDXM2025-052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昆仑社区2025年国家级嵌入式试点社区提升改造项目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长乐中路街道15街坊（现昆仑社区综合服务中心及沿街平方），拟对昆仑社区现有6间平房及室外公共区域，共计400余平方米，进行提升改造。主要包括三个点位，即提升老年餐厅和家政便民服务超市，增加综合服务大厅。同时对现有1000平方米社区办公用房的室内功能室、照明设施、墙地面、围墙等进行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采购包1（昆仑社区2025年国家级嵌入式试点社区提升改造项目）：属于专门面向中小企业采购。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2、法定代表人委托授权书：法定代表人授权委托书、被授权人身份证（法定代表人参加磋商时,只需提供法定代表人身份证）</w:t>
      </w:r>
    </w:p>
    <w:p>
      <w:pPr>
        <w:pStyle w:val="null3"/>
      </w:pPr>
      <w:r>
        <w:rPr>
          <w:rFonts w:ascii="仿宋_GB2312" w:hAnsi="仿宋_GB2312" w:cs="仿宋_GB2312" w:eastAsia="仿宋_GB2312"/>
        </w:rPr>
        <w:t>3、供应商资质：供应商须具备建设行政主管部门颁发的建筑工程施工总承包三级及以上资质证书或建筑装修装饰工程专业二级及以上资质证书，同时具备合格有效的安全生产许可证</w:t>
      </w:r>
    </w:p>
    <w:p>
      <w:pPr>
        <w:pStyle w:val="null3"/>
      </w:pPr>
      <w:r>
        <w:rPr>
          <w:rFonts w:ascii="仿宋_GB2312" w:hAnsi="仿宋_GB2312" w:cs="仿宋_GB2312" w:eastAsia="仿宋_GB2312"/>
        </w:rPr>
        <w:t>4、项目经理：拟派项目经理具备建筑工程专业二级或以上注册建造师资格，具有有效的安全生产考核合格证书(建安B证)，在本单位注册且无在建工程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5、政府采购基本资格条件：符合政府采购基本资格条件承诺函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西安市新城区长乐中路街道办事处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万年路2号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陕西鼎端项目管理咨询有限公司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陕西省西安市未央区北三环与文景路辅路一方中港国际B座2205室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刘工、廉工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029-86472188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改革委员会办公厅颁发的《关于招标代理服务收费有关问题的通知》（发改办价格[2003]857号）文件规定； 户 名：陕西鼎端项目管理咨询有限公司 开户银行：招商银行股份有限公司西安朝阳门支行 账 号：1299 1534 0710 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西安市新城区长乐中路街道办事处</w:t>
      </w:r>
      <w:r>
        <w:rPr>
          <w:rFonts w:ascii="仿宋_GB2312" w:hAnsi="仿宋_GB2312" w:cs="仿宋_GB2312" w:eastAsia="仿宋_GB2312"/>
        </w:rPr>
        <w:t>和</w:t>
      </w:r>
      <w:r>
        <w:rPr>
          <w:rFonts w:ascii="仿宋_GB2312" w:hAnsi="仿宋_GB2312" w:cs="仿宋_GB2312" w:eastAsia="仿宋_GB2312"/>
        </w:rPr>
        <w:t>陕西鼎端项目管理咨询有限公司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西安市新城区长乐中路街道办事处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陕西鼎端项目管理咨询有限公司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西安市新城区长乐中路街道办事处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陕西鼎端项目管理咨询有限公司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本工程完工后，工程质量必须达到合格标淮，双方对工程质量如有争议，可请有关质量监督部门仲裁，仲裁费用及因此造成的损失，由败诉方承担。 工程具备竣工验收条件，乙方按国家工程竣工有关规定，向甲方项目负责人提供完整的竣工资料和竣工验收报告。甲方收到竣工验收报告后，在3个日历日内组织验收，并在验收后7个日历日内给予批准或提出修改意见，乙方按要求进行修改，并承担由自身原因造成修改的费用。如甲方在规定时间内未能组织验收，需及时通知乙方，另定验收日期。 竣工日期为甲方在乙方送交竣工验收报告上签字的日期，需修改后才能达到竣工要求的，竣工日期应为乙方修改后提请甲方验收且甲方签字的日期。</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联系人：刘工、廉工</w:t>
      </w:r>
    </w:p>
    <w:p>
      <w:pPr>
        <w:pStyle w:val="null3"/>
      </w:pPr>
      <w:r>
        <w:rPr>
          <w:rFonts w:ascii="仿宋_GB2312" w:hAnsi="仿宋_GB2312" w:cs="仿宋_GB2312" w:eastAsia="仿宋_GB2312"/>
        </w:rPr>
        <w:t>联系电话：029-86472188</w:t>
      </w:r>
    </w:p>
    <w:p>
      <w:pPr>
        <w:pStyle w:val="null3"/>
      </w:pPr>
      <w:r>
        <w:rPr>
          <w:rFonts w:ascii="仿宋_GB2312" w:hAnsi="仿宋_GB2312" w:cs="仿宋_GB2312" w:eastAsia="仿宋_GB2312"/>
        </w:rPr>
        <w:t>地址：陕西省西安市未央区北三环与文景路辅路一方中港国际B座2205室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986,090.72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2025年国家级嵌入式试点社区昆仑社区提升改造项目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标的名称：2025年国家级嵌入式试点社区昆仑社区提升改造项目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1、工程名称：昆仑社区2025年国家级嵌入式试点社区提升改造项目</w:t>
            </w:r>
          </w:p>
          <w:p>
            <w:pPr>
              <w:pStyle w:val="null3"/>
              <w:jc w:val="left"/>
            </w:pPr>
            <w:r>
              <w:rPr>
                <w:rFonts w:ascii="仿宋_GB2312" w:hAnsi="仿宋_GB2312" w:cs="仿宋_GB2312" w:eastAsia="仿宋_GB2312"/>
              </w:rPr>
              <w:t>2、施工范围：具体详见工程量清单及采购文件。</w:t>
            </w:r>
          </w:p>
          <w:p>
            <w:pPr>
              <w:pStyle w:val="null3"/>
              <w:jc w:val="left"/>
            </w:pPr>
            <w:r>
              <w:rPr>
                <w:rFonts w:ascii="仿宋_GB2312" w:hAnsi="仿宋_GB2312" w:cs="仿宋_GB2312" w:eastAsia="仿宋_GB2312"/>
              </w:rPr>
              <w:t>3、工期：120日历天</w:t>
            </w:r>
          </w:p>
          <w:p>
            <w:pPr>
              <w:pStyle w:val="null3"/>
              <w:jc w:val="left"/>
            </w:pPr>
            <w:r>
              <w:rPr>
                <w:rFonts w:ascii="仿宋_GB2312" w:hAnsi="仿宋_GB2312" w:cs="仿宋_GB2312" w:eastAsia="仿宋_GB2312"/>
              </w:rPr>
              <w:t>4、质量保修期：</w:t>
            </w:r>
          </w:p>
          <w:p>
            <w:pPr>
              <w:pStyle w:val="null3"/>
              <w:jc w:val="left"/>
            </w:pPr>
            <w:r>
              <w:rPr>
                <w:rFonts w:ascii="仿宋_GB2312" w:hAnsi="仿宋_GB2312" w:cs="仿宋_GB2312" w:eastAsia="仿宋_GB2312"/>
              </w:rPr>
              <w:t>根据《建设工程质量管理条例》及有关规定，工程的质量保修期如下：</w:t>
            </w:r>
          </w:p>
          <w:p>
            <w:pPr>
              <w:pStyle w:val="null3"/>
              <w:jc w:val="left"/>
            </w:pPr>
            <w:r>
              <w:rPr>
                <w:rFonts w:ascii="仿宋_GB2312" w:hAnsi="仿宋_GB2312" w:cs="仿宋_GB2312" w:eastAsia="仿宋_GB2312"/>
              </w:rPr>
              <w:t>①地基基础工程和主体结构工程为设计文件规定的工程合理使用年限；</w:t>
            </w:r>
          </w:p>
          <w:p>
            <w:pPr>
              <w:pStyle w:val="null3"/>
              <w:jc w:val="left"/>
            </w:pPr>
            <w:r>
              <w:rPr>
                <w:rFonts w:ascii="仿宋_GB2312" w:hAnsi="仿宋_GB2312" w:cs="仿宋_GB2312" w:eastAsia="仿宋_GB2312"/>
              </w:rPr>
              <w:t>②屋面防水工程、有防水要求的卫生间、房间和外墙面的防渗为5年；</w:t>
            </w:r>
          </w:p>
          <w:p>
            <w:pPr>
              <w:pStyle w:val="null3"/>
              <w:jc w:val="left"/>
            </w:pPr>
            <w:r>
              <w:rPr>
                <w:rFonts w:ascii="仿宋_GB2312" w:hAnsi="仿宋_GB2312" w:cs="仿宋_GB2312" w:eastAsia="仿宋_GB2312"/>
              </w:rPr>
              <w:t>③装修工程为2年；</w:t>
            </w:r>
          </w:p>
          <w:p>
            <w:pPr>
              <w:pStyle w:val="null3"/>
              <w:jc w:val="left"/>
            </w:pPr>
            <w:r>
              <w:rPr>
                <w:rFonts w:ascii="仿宋_GB2312" w:hAnsi="仿宋_GB2312" w:cs="仿宋_GB2312" w:eastAsia="仿宋_GB2312"/>
              </w:rPr>
              <w:t>④电气管线、给排水管道、设备安装工程为2 年；</w:t>
            </w:r>
          </w:p>
          <w:p>
            <w:pPr>
              <w:pStyle w:val="null3"/>
              <w:jc w:val="left"/>
            </w:pPr>
            <w:r>
              <w:rPr>
                <w:rFonts w:ascii="仿宋_GB2312" w:hAnsi="仿宋_GB2312" w:cs="仿宋_GB2312" w:eastAsia="仿宋_GB2312"/>
              </w:rPr>
              <w:t>⑤供冷系统为2个供冷期；</w:t>
            </w:r>
          </w:p>
          <w:p>
            <w:pPr>
              <w:pStyle w:val="null3"/>
              <w:jc w:val="left"/>
            </w:pPr>
            <w:r>
              <w:rPr>
                <w:rFonts w:ascii="仿宋_GB2312" w:hAnsi="仿宋_GB2312" w:cs="仿宋_GB2312" w:eastAsia="仿宋_GB2312"/>
              </w:rPr>
              <w:t>⑥住宅小区内的给排水设施、道路等配套工程为 2年。</w:t>
            </w:r>
          </w:p>
          <w:p>
            <w:pPr>
              <w:pStyle w:val="null3"/>
              <w:jc w:val="left"/>
            </w:pPr>
            <w:r>
              <w:rPr>
                <w:rFonts w:ascii="仿宋_GB2312" w:hAnsi="仿宋_GB2312" w:cs="仿宋_GB2312" w:eastAsia="仿宋_GB2312"/>
              </w:rPr>
              <w:t>5、付款方式：本项目预付款为签约合同价的40％；待工程竣工验收合格后，支付至全部工程量90%的工程款；竣工结算审计完毕，付剩余工程款。</w:t>
            </w:r>
          </w:p>
          <w:p>
            <w:pPr>
              <w:pStyle w:val="null3"/>
              <w:jc w:val="left"/>
            </w:pPr>
            <w:r>
              <w:rPr>
                <w:rFonts w:ascii="仿宋_GB2312" w:hAnsi="仿宋_GB2312" w:cs="仿宋_GB2312" w:eastAsia="仿宋_GB2312"/>
              </w:rPr>
              <w:t>二、编制依据：</w:t>
            </w:r>
          </w:p>
          <w:p>
            <w:pPr>
              <w:pStyle w:val="null3"/>
              <w:jc w:val="left"/>
            </w:pPr>
            <w:r>
              <w:rPr>
                <w:rFonts w:ascii="仿宋_GB2312" w:hAnsi="仿宋_GB2312" w:cs="仿宋_GB2312" w:eastAsia="仿宋_GB2312"/>
              </w:rPr>
              <w:t>1、《陕西省建设工程工程量清单计价规则》（2009）及其配套计价文件；</w:t>
            </w:r>
          </w:p>
          <w:p>
            <w:pPr>
              <w:pStyle w:val="null3"/>
              <w:jc w:val="both"/>
            </w:pPr>
            <w:r>
              <w:rPr>
                <w:rFonts w:ascii="仿宋_GB2312" w:hAnsi="仿宋_GB2312" w:cs="仿宋_GB2312" w:eastAsia="仿宋_GB2312"/>
              </w:rPr>
              <w:t>2、与建设工程项目有关的标准、规范、技术资料；</w:t>
            </w:r>
          </w:p>
          <w:p>
            <w:pPr>
              <w:pStyle w:val="null3"/>
              <w:jc w:val="both"/>
            </w:pPr>
            <w:r>
              <w:rPr>
                <w:rFonts w:ascii="仿宋_GB2312" w:hAnsi="仿宋_GB2312" w:cs="仿宋_GB2312" w:eastAsia="仿宋_GB2312"/>
              </w:rPr>
              <w:t>3、施工现场情况、工程特点、常规施工方案及施工组织设计等文件；</w:t>
            </w:r>
          </w:p>
          <w:p>
            <w:pPr>
              <w:pStyle w:val="null3"/>
              <w:jc w:val="both"/>
            </w:pPr>
            <w:r>
              <w:rPr>
                <w:rFonts w:ascii="仿宋_GB2312" w:hAnsi="仿宋_GB2312" w:cs="仿宋_GB2312" w:eastAsia="仿宋_GB2312"/>
              </w:rPr>
              <w:t>4、本工程材料价参考材料信息价及市场价；</w:t>
            </w:r>
          </w:p>
          <w:p>
            <w:pPr>
              <w:pStyle w:val="null3"/>
              <w:jc w:val="both"/>
            </w:pPr>
            <w:r>
              <w:rPr>
                <w:rFonts w:ascii="仿宋_GB2312" w:hAnsi="仿宋_GB2312" w:cs="仿宋_GB2312" w:eastAsia="仿宋_GB2312"/>
              </w:rPr>
              <w:t>5、本工程执行陕建发【2017】270号文《关于增加建设工程扬尘治理专项措施费及综合人工单价调整的通知》；</w:t>
            </w:r>
          </w:p>
          <w:p>
            <w:pPr>
              <w:pStyle w:val="null3"/>
              <w:jc w:val="both"/>
            </w:pPr>
            <w:r>
              <w:rPr>
                <w:rFonts w:ascii="仿宋_GB2312" w:hAnsi="仿宋_GB2312" w:cs="仿宋_GB2312" w:eastAsia="仿宋_GB2312"/>
              </w:rPr>
              <w:t>6、本工程执行陕建发【2019】45号文《关于调整陕西省建设工程计价依据的通知》</w:t>
            </w:r>
          </w:p>
          <w:p>
            <w:pPr>
              <w:pStyle w:val="null3"/>
              <w:jc w:val="both"/>
            </w:pPr>
            <w:r>
              <w:rPr>
                <w:rFonts w:ascii="仿宋_GB2312" w:hAnsi="仿宋_GB2312" w:cs="仿宋_GB2312" w:eastAsia="仿宋_GB2312"/>
              </w:rPr>
              <w:t>7、本工程执行陕建发【2019】1246号文《关于发布我省落实建筑工人实名制管理计价依据的通知》；</w:t>
            </w:r>
          </w:p>
          <w:p>
            <w:pPr>
              <w:pStyle w:val="null3"/>
              <w:jc w:val="both"/>
            </w:pPr>
            <w:r>
              <w:rPr>
                <w:rFonts w:ascii="仿宋_GB2312" w:hAnsi="仿宋_GB2312" w:cs="仿宋_GB2312" w:eastAsia="仿宋_GB2312"/>
              </w:rPr>
              <w:t>8、本工程执行陕建发【2020】177号文《陕西省建筑施工安全生产责任保险实施方案》；</w:t>
            </w:r>
          </w:p>
          <w:p>
            <w:pPr>
              <w:pStyle w:val="null3"/>
              <w:jc w:val="both"/>
            </w:pPr>
            <w:r>
              <w:rPr>
                <w:rFonts w:ascii="仿宋_GB2312" w:hAnsi="仿宋_GB2312" w:cs="仿宋_GB2312" w:eastAsia="仿宋_GB2312"/>
              </w:rPr>
              <w:t>9、本工程执行陕建发【2020】1097号文《关于建筑施工安全生产责任保险费用计价的通知》；</w:t>
            </w:r>
          </w:p>
          <w:p>
            <w:pPr>
              <w:pStyle w:val="null3"/>
              <w:jc w:val="both"/>
            </w:pPr>
            <w:r>
              <w:rPr>
                <w:rFonts w:ascii="仿宋_GB2312" w:hAnsi="仿宋_GB2312" w:cs="仿宋_GB2312" w:eastAsia="仿宋_GB2312"/>
              </w:rPr>
              <w:t>10、本工程执行陕建发【2021】1021号文《关于全省统一停止收缴建筑业劳保费用的通知》；</w:t>
            </w:r>
          </w:p>
          <w:p>
            <w:pPr>
              <w:pStyle w:val="null3"/>
              <w:jc w:val="both"/>
            </w:pPr>
            <w:r>
              <w:rPr>
                <w:rFonts w:ascii="仿宋_GB2312" w:hAnsi="仿宋_GB2312" w:cs="仿宋_GB2312" w:eastAsia="仿宋_GB2312"/>
              </w:rPr>
              <w:t>11、本工程执行陕建发【2021】1097号文《关于调整房屋建筑和市政基础设施工程工程量清单计价综合人工单价的通知》；</w:t>
            </w:r>
          </w:p>
          <w:p>
            <w:pPr>
              <w:pStyle w:val="null3"/>
              <w:jc w:val="both"/>
            </w:pPr>
            <w:r>
              <w:rPr>
                <w:rFonts w:ascii="仿宋_GB2312" w:hAnsi="仿宋_GB2312" w:cs="仿宋_GB2312" w:eastAsia="仿宋_GB2312"/>
              </w:rPr>
              <w:t>12、其他相关资料。</w:t>
            </w:r>
          </w:p>
          <w:p>
            <w:pPr>
              <w:pStyle w:val="null3"/>
              <w:jc w:val="both"/>
            </w:pPr>
            <w:r>
              <w:rPr>
                <w:rFonts w:ascii="仿宋_GB2312" w:hAnsi="仿宋_GB2312" w:cs="仿宋_GB2312" w:eastAsia="仿宋_GB2312"/>
              </w:rPr>
              <w:t>13、相关工程验收规范及标准；</w:t>
            </w:r>
          </w:p>
          <w:p>
            <w:pPr>
              <w:pStyle w:val="null3"/>
              <w:jc w:val="both"/>
            </w:pPr>
            <w:r>
              <w:rPr>
                <w:rFonts w:ascii="仿宋_GB2312" w:hAnsi="仿宋_GB2312" w:cs="仿宋_GB2312" w:eastAsia="仿宋_GB2312"/>
              </w:rPr>
              <w:t>14、正常的施工工艺和施工方法；</w:t>
            </w:r>
          </w:p>
          <w:p>
            <w:pPr>
              <w:pStyle w:val="null3"/>
              <w:jc w:val="both"/>
            </w:pPr>
            <w:r>
              <w:rPr>
                <w:rFonts w:ascii="仿宋_GB2312" w:hAnsi="仿宋_GB2312" w:cs="仿宋_GB2312" w:eastAsia="仿宋_GB2312"/>
              </w:rPr>
              <w:t>15、人工取费类别按照差价计取。</w:t>
            </w:r>
          </w:p>
          <w:p>
            <w:pPr>
              <w:pStyle w:val="null3"/>
              <w:jc w:val="both"/>
            </w:pPr>
            <w:r>
              <w:rPr>
                <w:rFonts w:ascii="仿宋_GB2312" w:hAnsi="仿宋_GB2312" w:cs="仿宋_GB2312" w:eastAsia="仿宋_GB2312"/>
              </w:rPr>
              <w:t>16、本工程编制采用广联达软件陕西地区GCCP6.0 （版本号：6.4100.23.122）。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2、落实的政府采购政策：（1）《政府采购促进中小企业发展管理办法》（财库〔2020〕46号）；（2）《关于进一步加大政府采购支持中小企业力度的通知》（财库〔2022〕19号）；（3）《财政部 司法部关于政府采购支持监狱企业发展有关问题的通知》（财库〔2014〕68号）；（4）《国务院办公厅关于建立政府强制采购节能产品制度的通知》（国办发〔2007〕51号）；（5）《财政部 民政部 中国残疾人联合会关于促进残疾人就业政府采购政策的通知》（财库〔2017〕141号）；（6）《财政部 发展改革委 生态环境部 市场监管总局关于调整优化节能产品、环境标志产品政府采购执行机制的通知》（财库〔2019〕9号）；（7）《关于印发环境标志产品政府采购品目清单的通知》（财库〔2019〕18号）；（8）《关于印发节能产品政府采购品目清单的通知》（财库〔2019〕19号）；（9）陕西省财政厅关于进一步加强政府绿色采购有关问题的通知--陕财办采〔2021〕29号；（10）《财政部 农业农村部 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其他需要落实的政府采购政策（如有最新颁布的政府采购政策，按最新的文件执行）。 3、各供应商所有分项报价（与最后磋商报价比例一致）同比例下浮。 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供应商须具备建设行政主管部门颁发的建筑工程施工总承包三级及以上资质证书或建筑装修装饰工程专业二级及以上资质证书，同时具备合格有效的安全生产许可证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政府采购基本资格条件</w:t>
            </w:r>
          </w:p>
        </w:tc>
        <w:tc>
          <w:tcPr>
            <w:tcW w:type="dxa" w:w="3322"/>
          </w:tcPr>
          <w:p>
            <w:pPr>
              <w:pStyle w:val="null3"/>
            </w:pPr>
            <w:r>
              <w:rPr>
                <w:rFonts w:ascii="仿宋_GB2312" w:hAnsi="仿宋_GB2312" w:cs="仿宋_GB2312" w:eastAsia="仿宋_GB2312"/>
              </w:rPr>
              <w:t>符合政府采购基本资格条件承诺函</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工期、保修期、付款进度响应磋商文件要求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三、赋分标准（满分7.5分） ①施工质量检验制度：每完全满足一个评审标准得0.5分，满分1.5分； ②确保质量的技术组织措施：每完全满足一个评审标准得1分，满分3分； ③施工质量控制措施：每完全满足一个评审标准得1 分，满分3分；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三、赋分标准（满分7.5分） ①劳动力资源配置计划：每完全满足一个评审标准得1分，满分3分； ②施工机械设备投入计划：每完全满足一个评审标准得1分，满分3分； 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1、完整性：方案必须全面，对评审内容中的各项要求有详细描述；2、可实施性：切合本项目实际情况，提出步骤清晰、合理的方案；3、针对性：方案能够紧扣项目实际情况，内容科学合理。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 ②文明施工现场管理：材料管理、扰民措施。 二、评审标准 1、完整性：方案必须全面，对评审内容中的各项要求有详细描述；2、可实施性：切合本项目实际情况，提出步骤清晰、合理的方案；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二、赋分标准（满分6分）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二、赋分标准（满分6分）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 ②分部分项工程施工方法 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1.具备工程类中级及以上技术职称得2分，其他不得分。 评审依据：以加盖申请人公章（或电子签章）的职称证书复印件为准。 2.具有本科及以上学历得2分；具有专科学历得1分； 评审依据：以加盖供应商公章（或电子签章）的毕业证书或学信网证明资料复印件为准。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三、赋分标准（满分4.5分） ①管理机构的配备计划：每完全满足一个评审标准得1分，满分3分；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供应商提供2022年06月（以合同签订时间为准）至今类似项目业绩，每份得3分，满分9分。(提供合同复印件并加盖公章)。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