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25CB8">
      <w:pPr>
        <w:spacing w:line="300" w:lineRule="auto"/>
        <w:jc w:val="center"/>
        <w:rPr>
          <w:rFonts w:hint="eastAsia" w:ascii="黑体" w:hAnsi="宋体" w:eastAsia="黑体" w:cs="Times New Roman"/>
          <w:color w:val="auto"/>
          <w:sz w:val="44"/>
          <w:szCs w:val="44"/>
          <w:highlight w:val="none"/>
          <w:lang w:eastAsia="zh-CN"/>
        </w:rPr>
      </w:pPr>
    </w:p>
    <w:p w14:paraId="0FF6514F">
      <w:pPr>
        <w:spacing w:line="300" w:lineRule="auto"/>
        <w:jc w:val="center"/>
        <w:rPr>
          <w:rFonts w:hint="eastAsia" w:ascii="黑体" w:hAnsi="宋体" w:eastAsia="黑体" w:cs="Times New Roman"/>
          <w:color w:val="auto"/>
          <w:sz w:val="44"/>
          <w:szCs w:val="44"/>
          <w:highlight w:val="none"/>
          <w:lang w:eastAsia="zh-CN"/>
        </w:rPr>
      </w:pPr>
    </w:p>
    <w:p w14:paraId="51E76272">
      <w:pPr>
        <w:spacing w:line="300" w:lineRule="auto"/>
        <w:jc w:val="center"/>
        <w:rPr>
          <w:rFonts w:hint="eastAsia" w:ascii="黑体" w:hAnsi="宋体" w:eastAsia="黑体"/>
          <w:color w:val="auto"/>
          <w:sz w:val="44"/>
          <w:szCs w:val="44"/>
          <w:highlight w:val="none"/>
          <w:lang w:val="en-US" w:eastAsia="zh-CN"/>
        </w:rPr>
      </w:pPr>
      <w:r>
        <w:rPr>
          <w:rFonts w:hint="eastAsia" w:ascii="黑体" w:hAnsi="宋体" w:eastAsia="黑体"/>
          <w:color w:val="auto"/>
          <w:sz w:val="44"/>
          <w:szCs w:val="44"/>
          <w:highlight w:val="none"/>
          <w:lang w:val="en-US" w:eastAsia="zh-CN"/>
        </w:rPr>
        <w:t>西安市新城区后宰门小学幸福校区</w:t>
      </w:r>
    </w:p>
    <w:p w14:paraId="28B3C4A7">
      <w:pPr>
        <w:spacing w:line="300" w:lineRule="auto"/>
        <w:jc w:val="center"/>
        <w:rPr>
          <w:rFonts w:ascii="黑体" w:hAnsi="宋体" w:eastAsia="黑体"/>
          <w:color w:val="auto"/>
          <w:sz w:val="44"/>
          <w:szCs w:val="44"/>
          <w:highlight w:val="none"/>
        </w:rPr>
      </w:pPr>
      <w:r>
        <w:rPr>
          <w:rFonts w:hint="eastAsia" w:ascii="黑体" w:hAnsi="宋体" w:eastAsia="黑体"/>
          <w:color w:val="auto"/>
          <w:sz w:val="44"/>
          <w:szCs w:val="44"/>
          <w:highlight w:val="none"/>
          <w:lang w:val="en-US" w:eastAsia="zh-CN"/>
        </w:rPr>
        <w:t>榫卯博物馆改造工程</w:t>
      </w:r>
    </w:p>
    <w:p w14:paraId="54FE0DAE">
      <w:pPr>
        <w:widowControl/>
        <w:jc w:val="center"/>
        <w:rPr>
          <w:rFonts w:hint="eastAsia" w:ascii="黑体" w:hAnsi="宋体" w:eastAsia="黑体"/>
          <w:color w:val="auto"/>
          <w:sz w:val="44"/>
          <w:szCs w:val="44"/>
          <w:highlight w:val="none"/>
        </w:rPr>
      </w:pPr>
    </w:p>
    <w:p w14:paraId="0988824A">
      <w:pPr>
        <w:widowControl/>
        <w:jc w:val="center"/>
        <w:rPr>
          <w:rFonts w:hint="eastAsia" w:ascii="黑体" w:hAnsi="宋体" w:eastAsia="黑体"/>
          <w:color w:val="auto"/>
          <w:sz w:val="44"/>
          <w:szCs w:val="44"/>
          <w:highlight w:val="none"/>
        </w:rPr>
      </w:pPr>
      <w:r>
        <w:rPr>
          <w:rFonts w:hint="eastAsia" w:ascii="黑体" w:hAnsi="宋体" w:eastAsia="黑体"/>
          <w:color w:val="auto"/>
          <w:sz w:val="44"/>
          <w:szCs w:val="44"/>
          <w:highlight w:val="none"/>
        </w:rPr>
        <w:t>施工合同</w:t>
      </w:r>
    </w:p>
    <w:p w14:paraId="2C80B2E1">
      <w:pPr>
        <w:spacing w:line="360" w:lineRule="auto"/>
        <w:jc w:val="center"/>
        <w:rPr>
          <w:rFonts w:hint="eastAsia" w:ascii="黑体" w:hAnsi="宋体" w:eastAsia="黑体"/>
          <w:b/>
          <w:color w:val="auto"/>
          <w:sz w:val="44"/>
          <w:szCs w:val="44"/>
          <w:highlight w:val="none"/>
        </w:rPr>
      </w:pPr>
    </w:p>
    <w:p w14:paraId="6AA01A26">
      <w:pPr>
        <w:spacing w:line="360" w:lineRule="auto"/>
        <w:jc w:val="center"/>
        <w:rPr>
          <w:rFonts w:hint="eastAsia" w:ascii="黑体" w:hAnsi="宋体" w:eastAsia="黑体"/>
          <w:b/>
          <w:color w:val="auto"/>
          <w:sz w:val="36"/>
          <w:szCs w:val="36"/>
          <w:highlight w:val="none"/>
        </w:rPr>
      </w:pPr>
    </w:p>
    <w:p w14:paraId="706C9FB7">
      <w:pPr>
        <w:spacing w:line="300" w:lineRule="auto"/>
        <w:ind w:firstLine="2108" w:firstLineChars="700"/>
        <w:rPr>
          <w:rFonts w:hint="default" w:ascii="仿宋_GB2312" w:hAnsi="宋体" w:eastAsia="仿宋_GB2312"/>
          <w:b/>
          <w:color w:val="auto"/>
          <w:sz w:val="30"/>
          <w:szCs w:val="30"/>
          <w:highlight w:val="none"/>
          <w:u w:val="single"/>
          <w:lang w:val="en-US" w:eastAsia="zh-CN"/>
        </w:rPr>
      </w:pPr>
      <w:r>
        <w:rPr>
          <w:rFonts w:hint="eastAsia" w:ascii="仿宋_GB2312" w:hAnsi="宋体" w:eastAsia="仿宋_GB2312"/>
          <w:b/>
          <w:color w:val="auto"/>
          <w:sz w:val="30"/>
          <w:szCs w:val="30"/>
          <w:highlight w:val="none"/>
        </w:rPr>
        <w:t>合同编号：</w:t>
      </w:r>
      <w:r>
        <w:rPr>
          <w:rFonts w:hint="eastAsia" w:ascii="仿宋_GB2312" w:hAnsi="宋体" w:eastAsia="仿宋_GB2312"/>
          <w:b/>
          <w:color w:val="auto"/>
          <w:sz w:val="30"/>
          <w:szCs w:val="30"/>
          <w:highlight w:val="none"/>
          <w:u w:val="single"/>
          <w:lang w:val="en-US" w:eastAsia="zh-CN"/>
        </w:rPr>
        <w:t xml:space="preserve">                </w:t>
      </w:r>
    </w:p>
    <w:p w14:paraId="07E0A680">
      <w:pPr>
        <w:spacing w:line="360" w:lineRule="auto"/>
        <w:jc w:val="center"/>
        <w:rPr>
          <w:rFonts w:hint="eastAsia" w:ascii="黑体" w:hAnsi="宋体" w:eastAsia="黑体"/>
          <w:b/>
          <w:color w:val="auto"/>
          <w:sz w:val="36"/>
          <w:szCs w:val="36"/>
          <w:highlight w:val="none"/>
        </w:rPr>
      </w:pPr>
    </w:p>
    <w:p w14:paraId="50150418">
      <w:pPr>
        <w:spacing w:line="360" w:lineRule="auto"/>
        <w:jc w:val="center"/>
        <w:rPr>
          <w:rFonts w:hint="eastAsia" w:ascii="黑体" w:hAnsi="宋体" w:eastAsia="黑体"/>
          <w:b/>
          <w:color w:val="auto"/>
          <w:sz w:val="36"/>
          <w:szCs w:val="36"/>
          <w:highlight w:val="none"/>
        </w:rPr>
      </w:pPr>
    </w:p>
    <w:p w14:paraId="5E1070C9">
      <w:pPr>
        <w:spacing w:line="360" w:lineRule="auto"/>
        <w:jc w:val="center"/>
        <w:rPr>
          <w:rFonts w:hint="eastAsia" w:ascii="黑体" w:hAnsi="宋体" w:eastAsia="黑体"/>
          <w:b/>
          <w:color w:val="auto"/>
          <w:sz w:val="36"/>
          <w:szCs w:val="36"/>
          <w:highlight w:val="none"/>
        </w:rPr>
      </w:pPr>
    </w:p>
    <w:p w14:paraId="66B9E41D">
      <w:pPr>
        <w:pStyle w:val="8"/>
        <w:rPr>
          <w:rFonts w:hint="eastAsia"/>
        </w:rPr>
      </w:pPr>
    </w:p>
    <w:p w14:paraId="42405D8E">
      <w:pPr>
        <w:rPr>
          <w:rFonts w:hint="eastAsia" w:ascii="黑体" w:eastAsia="黑体"/>
          <w:b/>
          <w:color w:val="auto"/>
          <w:sz w:val="36"/>
          <w:highlight w:val="none"/>
        </w:rPr>
      </w:pPr>
    </w:p>
    <w:p w14:paraId="18242D0F">
      <w:pPr>
        <w:rPr>
          <w:b/>
          <w:color w:val="auto"/>
          <w:sz w:val="32"/>
          <w:highlight w:val="none"/>
        </w:rPr>
      </w:pPr>
    </w:p>
    <w:p w14:paraId="75691196">
      <w:pPr>
        <w:pStyle w:val="3"/>
      </w:pPr>
    </w:p>
    <w:p w14:paraId="7FB81EE6">
      <w:pPr>
        <w:rPr>
          <w:b/>
          <w:color w:val="auto"/>
          <w:sz w:val="32"/>
          <w:highlight w:val="none"/>
        </w:rPr>
      </w:pPr>
    </w:p>
    <w:p w14:paraId="437D9F0D">
      <w:pPr>
        <w:jc w:val="center"/>
        <w:rPr>
          <w:rFonts w:hint="eastAsia" w:ascii="仿宋_GB2312" w:hAnsi="宋体" w:eastAsia="仿宋_GB2312"/>
          <w:b/>
          <w:color w:val="auto"/>
          <w:sz w:val="24"/>
          <w:highlight w:val="none"/>
        </w:rPr>
      </w:pPr>
      <w:r>
        <w:rPr>
          <w:rFonts w:hint="eastAsia" w:ascii="黑体" w:eastAsia="黑体"/>
          <w:b/>
          <w:color w:val="auto"/>
          <w:sz w:val="32"/>
          <w:highlight w:val="none"/>
        </w:rPr>
        <w:t>二○二</w:t>
      </w:r>
      <w:r>
        <w:rPr>
          <w:rFonts w:hint="eastAsia" w:ascii="黑体" w:eastAsia="黑体"/>
          <w:b/>
          <w:color w:val="auto"/>
          <w:sz w:val="32"/>
          <w:highlight w:val="none"/>
          <w:lang w:val="en-US" w:eastAsia="zh-CN"/>
        </w:rPr>
        <w:t>五</w:t>
      </w:r>
      <w:r>
        <w:rPr>
          <w:rFonts w:hint="eastAsia" w:ascii="黑体" w:eastAsia="黑体"/>
          <w:b/>
          <w:color w:val="auto"/>
          <w:sz w:val="32"/>
          <w:highlight w:val="none"/>
        </w:rPr>
        <w:t>年</w:t>
      </w:r>
      <w:r>
        <w:rPr>
          <w:rFonts w:hint="eastAsia" w:ascii="黑体" w:eastAsia="黑体"/>
          <w:b/>
          <w:color w:val="auto"/>
          <w:sz w:val="32"/>
          <w:highlight w:val="none"/>
          <w:lang w:val="en-US" w:eastAsia="zh-CN"/>
        </w:rPr>
        <w:t xml:space="preserve">  </w:t>
      </w:r>
      <w:r>
        <w:rPr>
          <w:rFonts w:hint="eastAsia" w:ascii="黑体" w:eastAsia="黑体"/>
          <w:b/>
          <w:color w:val="auto"/>
          <w:sz w:val="32"/>
          <w:highlight w:val="none"/>
        </w:rPr>
        <w:t>月</w:t>
      </w:r>
    </w:p>
    <w:p w14:paraId="226689A2">
      <w:pPr>
        <w:spacing w:line="300" w:lineRule="auto"/>
        <w:ind w:left="2382" w:leftChars="258" w:hanging="1840" w:hangingChars="611"/>
        <w:rPr>
          <w:rFonts w:hint="eastAsia" w:ascii="仿宋_GB2312" w:hAnsi="宋体" w:eastAsia="仿宋_GB2312"/>
          <w:b/>
          <w:color w:val="auto"/>
          <w:sz w:val="30"/>
          <w:szCs w:val="30"/>
          <w:highlight w:val="none"/>
        </w:rPr>
      </w:pPr>
    </w:p>
    <w:p w14:paraId="2251AD5B">
      <w:pPr>
        <w:spacing w:line="300" w:lineRule="auto"/>
        <w:ind w:left="2382" w:leftChars="258" w:hanging="1840" w:hangingChars="611"/>
        <w:rPr>
          <w:rFonts w:hint="eastAsia" w:ascii="仿宋_GB2312" w:hAnsi="宋体" w:eastAsia="仿宋_GB2312"/>
          <w:b/>
          <w:color w:val="auto"/>
          <w:sz w:val="30"/>
          <w:szCs w:val="30"/>
          <w:highlight w:val="none"/>
        </w:rPr>
      </w:pPr>
    </w:p>
    <w:p w14:paraId="5653CF52">
      <w:pPr>
        <w:spacing w:line="300" w:lineRule="auto"/>
        <w:ind w:left="2382" w:leftChars="258" w:hanging="1840" w:hangingChars="611"/>
        <w:rPr>
          <w:rFonts w:hint="eastAsia" w:ascii="仿宋_GB2312" w:hAnsi="宋体" w:eastAsia="仿宋_GB2312"/>
          <w:b/>
          <w:color w:val="auto"/>
          <w:sz w:val="30"/>
          <w:szCs w:val="30"/>
          <w:highlight w:val="none"/>
        </w:rPr>
      </w:pPr>
    </w:p>
    <w:p w14:paraId="51AEF39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41CBD3F9">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发包人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西安市新城区后宰门小学幸福校区</w:t>
      </w:r>
    </w:p>
    <w:p w14:paraId="01A41A29">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承包人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p>
    <w:p w14:paraId="0DD3BC8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《中华人民共和国建筑法》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为了明确</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的权利和义务，按照公开、公正、平等、自愿的原则，依据</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及响应文件</w:t>
      </w:r>
      <w:r>
        <w:rPr>
          <w:rFonts w:hint="eastAsia" w:ascii="宋体" w:hAnsi="宋体" w:eastAsia="宋体" w:cs="宋体"/>
          <w:color w:val="auto"/>
          <w:sz w:val="24"/>
          <w:szCs w:val="24"/>
          <w:highlight w:val="none"/>
        </w:rPr>
        <w:t>，在充分协商的基础上，特订立本合同。</w:t>
      </w:r>
    </w:p>
    <w:p w14:paraId="154F912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第1条</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rPr>
        <w:t>工程概况</w:t>
      </w:r>
    </w:p>
    <w:p w14:paraId="69FCEF8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1-1工程名称：</w:t>
      </w:r>
      <w:r>
        <w:rPr>
          <w:rFonts w:hint="eastAsia" w:ascii="宋体" w:hAnsi="宋体" w:eastAsia="宋体" w:cs="宋体"/>
          <w:color w:val="auto"/>
          <w:sz w:val="24"/>
          <w:szCs w:val="24"/>
          <w:highlight w:val="none"/>
          <w:lang w:val="en-US" w:eastAsia="zh-CN"/>
        </w:rPr>
        <w:t>西安市新城区后宰门小学幸福校区榫卯博物馆改造工程</w:t>
      </w:r>
    </w:p>
    <w:p w14:paraId="64D93E2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1-2工程地点：</w:t>
      </w:r>
      <w:r>
        <w:rPr>
          <w:rFonts w:hint="eastAsia" w:ascii="宋体" w:hAnsi="宋体" w:eastAsia="宋体" w:cs="宋体"/>
          <w:color w:val="auto"/>
          <w:sz w:val="24"/>
          <w:szCs w:val="24"/>
          <w:highlight w:val="none"/>
          <w:lang w:val="en-US" w:eastAsia="zh-CN"/>
        </w:rPr>
        <w:t>西安市新城区后宰门小学幸福校区内</w:t>
      </w:r>
    </w:p>
    <w:p w14:paraId="4F108EC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1-3承包方式：本工程由</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包工、包料，包安全。</w:t>
      </w:r>
    </w:p>
    <w:p w14:paraId="2382E9FF">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第2条  承包范围</w:t>
      </w:r>
    </w:p>
    <w:p w14:paraId="3913AC3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2-1承包内容：</w:t>
      </w:r>
      <w:r>
        <w:rPr>
          <w:rFonts w:hint="eastAsia" w:ascii="宋体" w:hAnsi="宋体" w:eastAsia="宋体" w:cs="宋体"/>
          <w:color w:val="auto"/>
          <w:sz w:val="24"/>
          <w:szCs w:val="24"/>
          <w:highlight w:val="none"/>
          <w:lang w:val="en-US" w:eastAsia="zh-CN"/>
        </w:rPr>
        <w:t>本工程为榫卯博物馆改造工程，主要工程内容为对开展学生榫卯课程教室进行装修改造。</w:t>
      </w:r>
    </w:p>
    <w:p w14:paraId="7515003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2-2工程内容：详见已标价工程量清单</w:t>
      </w:r>
      <w:r>
        <w:rPr>
          <w:rFonts w:hint="eastAsia" w:ascii="宋体" w:hAnsi="宋体" w:eastAsia="宋体" w:cs="宋体"/>
          <w:color w:val="auto"/>
          <w:sz w:val="24"/>
          <w:szCs w:val="24"/>
          <w:highlight w:val="none"/>
          <w:lang w:val="en-US" w:eastAsia="zh-CN"/>
        </w:rPr>
        <w:t>及图纸</w:t>
      </w:r>
      <w:r>
        <w:rPr>
          <w:rFonts w:hint="eastAsia" w:ascii="宋体" w:hAnsi="宋体" w:eastAsia="宋体" w:cs="宋体"/>
          <w:color w:val="auto"/>
          <w:sz w:val="24"/>
          <w:szCs w:val="24"/>
          <w:highlight w:val="none"/>
        </w:rPr>
        <w:t>。</w:t>
      </w:r>
    </w:p>
    <w:p w14:paraId="49E505A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2-3本次施工范围说明：</w:t>
      </w:r>
    </w:p>
    <w:p w14:paraId="578D17E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①承包人在施工过程中应做好对学校原有设施保护，费用在响应报价中综合考虑。</w:t>
      </w:r>
    </w:p>
    <w:p w14:paraId="109A56C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②施工场地(现场)临时供水和临时供电由承包人解决，费用含在响应报价中。服从学校进行安全生产、施工进度和工程质量管理。</w:t>
      </w:r>
    </w:p>
    <w:p w14:paraId="42D9B95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③承包人被认为已在本工程投标阶段踏勘现场时充分了解本工程现场条件和周围环境，并已在其报价时就此给予了充分的考虑。</w:t>
      </w:r>
    </w:p>
    <w:p w14:paraId="143620A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④承包人应考虑现有人、材、机市场水平和供应、价格风险、不利的施工因素以及施工现场各种不利情况（如施工场地限制、学生上课等），任何因忽视或误</w:t>
      </w:r>
      <w:r>
        <w:rPr>
          <w:rFonts w:hint="eastAsia" w:ascii="宋体" w:hAnsi="宋体" w:eastAsia="宋体" w:cs="宋体"/>
          <w:color w:val="000000" w:themeColor="text1"/>
          <w:sz w:val="24"/>
          <w:szCs w:val="24"/>
          <w:highlight w:val="none"/>
          <w:lang w:val="en-US" w:eastAsia="zh-CN"/>
          <w14:textFill>
            <w14:solidFill>
              <w14:schemeClr w14:val="tx1"/>
            </w14:solidFill>
          </w14:textFill>
        </w:rPr>
        <w:t>解工程情况而导致的工程量变更、索赔或工期延长申请将不获批准。</w:t>
      </w:r>
    </w:p>
    <w:p w14:paraId="6F77DF14">
      <w:pPr>
        <w:keepNext w:val="0"/>
        <w:keepLines w:val="0"/>
        <w:pageBreakBefore w:val="0"/>
        <w:kinsoku/>
        <w:overflowPunct/>
        <w:topLinePunct w:val="0"/>
        <w:autoSpaceDE/>
        <w:autoSpaceDN/>
        <w:bidi w:val="0"/>
        <w:adjustRightInd/>
        <w:snapToGrid/>
        <w:spacing w:line="360" w:lineRule="auto"/>
        <w:ind w:firstLine="301" w:firstLineChars="100"/>
        <w:textAlignment w:val="auto"/>
        <w:rPr>
          <w:rFonts w:hint="eastAsia" w:ascii="黑体" w:eastAsia="黑体"/>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kern w:val="2"/>
          <w:sz w:val="30"/>
          <w:szCs w:val="30"/>
          <w:highlight w:val="none"/>
          <w:lang w:val="en-US" w:eastAsia="zh-CN" w:bidi="ar-SA"/>
          <w14:textFill>
            <w14:solidFill>
              <w14:schemeClr w14:val="tx1"/>
            </w14:solidFill>
          </w14:textFill>
        </w:rPr>
        <w:t>第3条  合同工期</w:t>
      </w:r>
      <w:r>
        <w:rPr>
          <w:rFonts w:hint="eastAsia" w:ascii="黑体" w:eastAsia="黑体"/>
          <w:color w:val="000000" w:themeColor="text1"/>
          <w:sz w:val="30"/>
          <w:szCs w:val="30"/>
          <w:highlight w:val="none"/>
          <w14:textFill>
            <w14:solidFill>
              <w14:schemeClr w14:val="tx1"/>
            </w14:solidFill>
          </w14:textFill>
        </w:rPr>
        <w:t>：</w:t>
      </w:r>
    </w:p>
    <w:p w14:paraId="6AE4E20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工期：50日历天</w:t>
      </w:r>
      <w:bookmarkStart w:id="8" w:name="_GoBack"/>
      <w:bookmarkEnd w:id="8"/>
    </w:p>
    <w:p w14:paraId="1436C38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开工日期2025年  月  日；</w:t>
      </w:r>
    </w:p>
    <w:p w14:paraId="61B87C5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竣工日期2025年  月  日。</w:t>
      </w:r>
    </w:p>
    <w:p w14:paraId="5A3F0C52">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default"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 xml:space="preserve">第4条  质量标准  </w:t>
      </w:r>
    </w:p>
    <w:p w14:paraId="7F5E9FA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合格。满足质量合格、安全、环保等国家规定的相关规范。</w:t>
      </w:r>
    </w:p>
    <w:p w14:paraId="48F84B19">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第5条  合同价款及结算方式</w:t>
      </w:r>
    </w:p>
    <w:p w14:paraId="77A4A76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5-1本工程合同总价：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元人民币（大写：</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3FD9AED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其中：措施项目费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元，安全及文明施工措施项目费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p w14:paraId="6EE5CD4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5-2合同总价包括：人工费、材料费、机械使用费、管理费、利润、风险、措施项目费、规费、税金以及采购代理服务费等完成本工程的所有费用。除采购人变更采购内容外，合同总价在合同执行过程中固定不变。</w:t>
      </w:r>
    </w:p>
    <w:p w14:paraId="7DA4C74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5-3结算方式：</w:t>
      </w:r>
    </w:p>
    <w:p w14:paraId="4D19A34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工程竣工验收后承包人应在 15 天内提出工程竣工结算，发包人收到工程竣工结算后提出审核意见。双方意见达成一致并经发包人审计完成，按合同约定支付工程结算余款。</w:t>
      </w:r>
    </w:p>
    <w:p w14:paraId="2EC3CC1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第6条  发包人的责任</w:t>
      </w:r>
    </w:p>
    <w:p w14:paraId="055A08D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6-1负责开工后解决现场施工相关技术问题，施工期间外来政府单位的协调处理工作；</w:t>
      </w:r>
    </w:p>
    <w:p w14:paraId="1989EDC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6-2施工现场现状道路和交通设施可以提供给承包人，另有需要的由承包人自行解决，费用已包含在合同价款内。</w:t>
      </w:r>
    </w:p>
    <w:p w14:paraId="5E3B226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6-3按合同约定支付工程款。</w:t>
      </w:r>
    </w:p>
    <w:p w14:paraId="717A6573">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第7条  承包人的责任</w:t>
      </w:r>
    </w:p>
    <w:p w14:paraId="76A9272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7-1承包人负责西安市新城区后宰门小学幸福校区榫卯博物馆改造工程，按照政府有关安全、文明标准要求施工；</w:t>
      </w:r>
    </w:p>
    <w:p w14:paraId="1B6CD18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7-2负责施工使用的水、电线路、围栏和防护设施等；并提供施工用电、用水计划；</w:t>
      </w:r>
    </w:p>
    <w:p w14:paraId="545A7A5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7-3遵守学校及相关部门对施工场地交通、卫生和施工噪音、安全、施工进度管理规定；</w:t>
      </w:r>
    </w:p>
    <w:p w14:paraId="724307E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7-4在工程未交付使用之前，承包人负责已完成工程的成品保护工作，保护期间发生损坏，由承包人负责修复；</w:t>
      </w:r>
    </w:p>
    <w:p w14:paraId="66206F5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7-5做好施工场地内的管线和构筑物的成品保护工作；损坏时由承包人自费负责修复；</w:t>
      </w:r>
    </w:p>
    <w:p w14:paraId="09A4094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7-6保证施工现场清洁符合文明工地有关规定，交工前清理现场达无污染，现场无建筑垃圾；承担因此而造成的损失和罚款；</w:t>
      </w:r>
    </w:p>
    <w:p w14:paraId="09201AB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7-7组织施工人员进行施工安全、防火、防盗安全交底等，指定专人负责施工现场安全工作，承担因此而造成的损失和罚款；</w:t>
      </w:r>
    </w:p>
    <w:p w14:paraId="11BB361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7-8承包人配合发包人办理与施工有关的手续。</w:t>
      </w:r>
    </w:p>
    <w:p w14:paraId="779D223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第8条  工期和施工进度计划</w:t>
      </w:r>
    </w:p>
    <w:p w14:paraId="7407355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8-1承包人应按时完工。</w:t>
      </w:r>
    </w:p>
    <w:p w14:paraId="621F435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8-2承包人按批准的进度计划组织施工，接受发包人对进度的检查、监督；</w:t>
      </w:r>
    </w:p>
    <w:p w14:paraId="791F80F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8-3因施工安全及工程质量问题，发包人确认有必要时，可要求暂停施工，并在48小时内提出整改意见，承包人按整改意见处理完成后提出复工要求，批准后继续施工；</w:t>
      </w:r>
    </w:p>
    <w:p w14:paraId="008782C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8-4每周工程实际进度与施工进度计划不符时，承包人应按发包人的要求提出改工措施，总工期必须符合合同工期要求。</w:t>
      </w:r>
    </w:p>
    <w:p w14:paraId="0CB33C3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8-5非承包人原因或当地政府统一活动造成延误的工期发包人应予以顺延。</w:t>
      </w:r>
    </w:p>
    <w:p w14:paraId="34663BD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第9条  工程质量</w:t>
      </w:r>
    </w:p>
    <w:p w14:paraId="754EC33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9-1承包人应严格按照国家颁发工程验收规范标准、采购人要求进行施工，并应接受发包人、监理的检查、检验，对不合格的部分按发包人的要求整改，承担相应整改的费用； </w:t>
      </w:r>
    </w:p>
    <w:p w14:paraId="71DE508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9-2主要材料应采购大型企业合格产品，按发包人认定的样品进货，进货与样品质量不符时承包人无条件退换，并承担因此造成的一切经济损失费用。</w:t>
      </w:r>
    </w:p>
    <w:p w14:paraId="3669627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9-3隐蔽工程覆盖前需经发包人验收合格后才能进行下一道工序，否则承包人承担返工费用。</w:t>
      </w:r>
    </w:p>
    <w:p w14:paraId="7335E6D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9-4工程质量符合国家现行有关施工质量验收规范要求“合格”标准。</w:t>
      </w:r>
    </w:p>
    <w:p w14:paraId="69BCEFE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第10条  合同价款的支付</w:t>
      </w:r>
    </w:p>
    <w:p w14:paraId="4F493B9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10-1合同签订进场后15日内预付合同总价40%的工程款，工程全部竣工验收通过后15日内支付至结算金额的80%，工程审计结束后15日内剩余工程款一次性付清。</w:t>
      </w:r>
    </w:p>
    <w:p w14:paraId="18C7259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10-2合同款支付前，承包人需提供符合国家规定的发票。</w:t>
      </w:r>
    </w:p>
    <w:p w14:paraId="7F0630F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10-3承包人必须为施工场地内施工人员办理</w:t>
      </w:r>
      <w:r>
        <w:rPr>
          <w:rFonts w:hint="default" w:ascii="宋体" w:hAnsi="宋体" w:eastAsia="宋体" w:cs="宋体"/>
          <w:color w:val="auto"/>
          <w:sz w:val="24"/>
          <w:szCs w:val="24"/>
          <w:highlight w:val="none"/>
          <w:lang w:val="en-US" w:eastAsia="zh-CN"/>
        </w:rPr>
        <w:t>建筑施工安全生产责任</w:t>
      </w:r>
      <w:r>
        <w:rPr>
          <w:rFonts w:hint="eastAsia" w:ascii="宋体" w:hAnsi="宋体" w:eastAsia="宋体" w:cs="宋体"/>
          <w:color w:val="auto"/>
          <w:sz w:val="24"/>
          <w:szCs w:val="24"/>
          <w:highlight w:val="none"/>
          <w:lang w:val="en-US" w:eastAsia="zh-CN"/>
        </w:rPr>
        <w:t>保险和工伤保险等国家和地方政府规定的相关保险，以及其他认为有必要自行办理的其他保险，承包人自行办理保险并承担保险费用支付保险费用。</w:t>
      </w:r>
    </w:p>
    <w:p w14:paraId="0B48B371">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第11条  材料设备</w:t>
      </w:r>
    </w:p>
    <w:p w14:paraId="185F0C7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11-1本工程的所有材料由承包人负责采购供应，采购的材料、设备应该符合设计和规范要求，并通过质量监督部门认定的合格产品；承包人对所采购的设备、材料质量负有全部责任；</w:t>
      </w:r>
    </w:p>
    <w:p w14:paraId="5BEDFC1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11-2主要材料必须严格按照发包人确认的样品采购；</w:t>
      </w:r>
    </w:p>
    <w:p w14:paraId="3AD98D7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11-3若承包人在施工中使用假冒伪劣或未经发包人确认的主要材料，一经发现将按违规材料价格的1至3倍进行处罚，由此引起的相关经济损失由承包人自行承担。</w:t>
      </w:r>
    </w:p>
    <w:p w14:paraId="31DF68F8">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第12条  工程竣工验收</w:t>
      </w:r>
    </w:p>
    <w:p w14:paraId="6EDD12F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12-1竣工验收。</w:t>
      </w:r>
    </w:p>
    <w:p w14:paraId="054BA22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完工后承包人按国家工程竣工有关规定，向发包人提供完整竣工资料一式肆份（包含产品资料、技术资料和竣工图）和竣工验收报告。发包人收到竣工验收报告后，在10日内组织有关部门验收，承包人按验收要求进行整改，并承担由自身原因造成修改的费用。发包人接到验收报告或验收申请20个工作日后，发包人未组织竣工验收视为工程已通过验收。</w:t>
      </w:r>
    </w:p>
    <w:p w14:paraId="3A73D96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竣工日期为承包人送交竣工验收报告或验收申请的日期，需整改后才能达竣工要求的，应为承包人修改后提请发包人复验收的日期。</w:t>
      </w:r>
    </w:p>
    <w:p w14:paraId="1AE4AE2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12-2工程质量符合国家现行有关施工质量验收规范要求“合格”标准。</w:t>
      </w:r>
    </w:p>
    <w:p w14:paraId="4B22350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交付竣工验收的工程，必须符合规定的工程质量标准，有完整的工程技术经济资料和经签署的工程保修书，并具备国家规定的其他竣工条件。工程竣工经验收合格后，方可交付使用；未经验收或者验收不合格的，不得交付使用。</w:t>
      </w:r>
    </w:p>
    <w:p w14:paraId="73272CA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en-US" w:eastAsia="zh-CN"/>
        </w:rPr>
      </w:pPr>
      <w:r>
        <w:rPr>
          <w:rFonts w:hint="eastAsia" w:ascii="宋体" w:hAnsi="宋体" w:eastAsia="宋体" w:cs="宋体"/>
          <w:color w:val="auto"/>
          <w:sz w:val="24"/>
          <w:szCs w:val="24"/>
          <w:highlight w:val="none"/>
          <w:lang w:val="en-US" w:eastAsia="zh-CN"/>
        </w:rPr>
        <w:t>12-4验收结果合格的，采购人应向成交供应商出具履约验收报告，成交供应商凭验收报告办理相关手续。验收结果不合格的，履约保证金将不予退还，给采购人造成的损失超过履约保证金数额的，还应当对超过部分予以赔偿；没有提交履约保证金的，应当对采购人的损失承担赔偿责任。</w:t>
      </w:r>
    </w:p>
    <w:p w14:paraId="36B716A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12-5已竣工未验收的工程，在交工前由承包人负责保管。</w:t>
      </w:r>
    </w:p>
    <w:p w14:paraId="7327AE9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12-6由于承包人原因，应交工验收而不交不验的工程，造成损失。赔偿发包人因此造成的经济损失。</w:t>
      </w:r>
    </w:p>
    <w:p w14:paraId="028BF642">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第13条  发包人、承包人工地代表</w:t>
      </w:r>
    </w:p>
    <w:p w14:paraId="51BB96F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0E069D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双方各自委派工地代表，履行合同施工现场约定义务。若代表更换，后任继续承担前任应负的责任。</w:t>
      </w:r>
    </w:p>
    <w:p w14:paraId="403FB7B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第14条  安全与文明施工</w:t>
      </w:r>
    </w:p>
    <w:p w14:paraId="02B357F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14-1承包人应遵守安全操作和文明施工的规定，建立健全安全防护和文明施工的制度，对其在施工现场人员进行安全、防盗、文明施工教育，并对他们的安全负责；</w:t>
      </w:r>
    </w:p>
    <w:p w14:paraId="5D8F320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14-2承包人按有关规定采取严格的安全防护措施，承担由于安全措施不力造成事故的责任和因此发生的费用；</w:t>
      </w:r>
    </w:p>
    <w:p w14:paraId="6BB884D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14-3承包人在施工中发生任何伤亡事故，责任和费用全部由承包人承担。</w:t>
      </w:r>
    </w:p>
    <w:p w14:paraId="4C9DD4C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14-4施工材料和设备堆料场在</w:t>
      </w:r>
      <w:r>
        <w:rPr>
          <w:rFonts w:hint="eastAsia" w:ascii="宋体" w:hAnsi="宋体" w:eastAsia="宋体" w:cs="宋体"/>
          <w:color w:val="auto"/>
          <w:sz w:val="24"/>
          <w:szCs w:val="24"/>
          <w:highlight w:val="none"/>
          <w:u w:val="single"/>
          <w:lang w:val="en-US" w:eastAsia="zh-CN"/>
        </w:rPr>
        <w:t xml:space="preserve">  发包人指定位置   </w:t>
      </w:r>
      <w:r>
        <w:rPr>
          <w:rFonts w:hint="eastAsia" w:ascii="宋体" w:hAnsi="宋体" w:eastAsia="宋体" w:cs="宋体"/>
          <w:color w:val="auto"/>
          <w:sz w:val="24"/>
          <w:szCs w:val="24"/>
          <w:highlight w:val="none"/>
          <w:lang w:val="en-US" w:eastAsia="zh-CN"/>
        </w:rPr>
        <w:t>。</w:t>
      </w:r>
    </w:p>
    <w:p w14:paraId="4572D1D2">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黑体" w:hAnsi="宋体" w:eastAsia="黑体"/>
          <w:bCs/>
          <w:color w:val="auto"/>
          <w:sz w:val="30"/>
          <w:szCs w:val="30"/>
          <w:highlight w:val="none"/>
          <w:lang w:val="en-US" w:eastAsia="zh-CN"/>
        </w:rPr>
      </w:pPr>
      <w:r>
        <w:rPr>
          <w:rFonts w:hint="eastAsia" w:ascii="宋体" w:hAnsi="宋体" w:eastAsia="宋体" w:cs="宋体"/>
          <w:b/>
          <w:bCs/>
          <w:color w:val="auto"/>
          <w:kern w:val="2"/>
          <w:sz w:val="30"/>
          <w:szCs w:val="30"/>
          <w:highlight w:val="none"/>
          <w:lang w:val="en-US" w:eastAsia="zh-CN" w:bidi="ar-SA"/>
        </w:rPr>
        <w:t xml:space="preserve">第15条 </w:t>
      </w:r>
      <w:r>
        <w:rPr>
          <w:rFonts w:hint="eastAsia" w:ascii="黑体" w:hAnsi="宋体" w:eastAsia="黑体"/>
          <w:bCs/>
          <w:color w:val="auto"/>
          <w:sz w:val="30"/>
          <w:szCs w:val="30"/>
          <w:highlight w:val="none"/>
        </w:rPr>
        <w:t xml:space="preserve"> </w:t>
      </w:r>
      <w:r>
        <w:rPr>
          <w:rFonts w:hint="eastAsia" w:ascii="宋体" w:hAnsi="宋体" w:eastAsia="宋体" w:cs="宋体"/>
          <w:b/>
          <w:bCs/>
          <w:snapToGrid w:val="0"/>
          <w:color w:val="auto"/>
          <w:kern w:val="2"/>
          <w:sz w:val="30"/>
          <w:szCs w:val="30"/>
          <w:highlight w:val="none"/>
          <w:lang w:val="en-US" w:eastAsia="zh-CN" w:bidi="ar-SA"/>
        </w:rPr>
        <w:t>治污减霾措施方案</w:t>
      </w:r>
    </w:p>
    <w:p w14:paraId="485D756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15-1现场采取图片、表扬、评优、奖励等多种形式进行扬尘预宣传，并将扬尘预防治理知识的普及工作落实到每位施工人员身上。</w:t>
      </w:r>
    </w:p>
    <w:p w14:paraId="029E898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15-2对上岗的施工人员进行工地扬尘预防治理知识培训。</w:t>
      </w:r>
    </w:p>
    <w:p w14:paraId="0FFEB18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15-3未做硬地化的场地，定期压实地面和洒水，减少灰尘对周围环境的污染。</w:t>
      </w:r>
    </w:p>
    <w:p w14:paraId="15667FA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15-4禁止在施工现场焚烧有毒、有害和有恶臭气味的物质。</w:t>
      </w:r>
    </w:p>
    <w:p w14:paraId="698A037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15-5装卸有粉尘的材料时，应洒水湿润或在仓库内进行。</w:t>
      </w:r>
    </w:p>
    <w:p w14:paraId="020673F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15-6施工现场的道路实施撒水防尘措施。</w:t>
      </w:r>
    </w:p>
    <w:p w14:paraId="2BEF74C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15-7临设的日常维护与管理，竣工后及时拆除，恢复平整状态。</w:t>
      </w:r>
    </w:p>
    <w:p w14:paraId="63CB068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-8治污减霾工作由施工方全权负责，在施工中严格执行西安市建设工地及两类企业扬尘治理措施，认真贯彻《西安市扬尘污染防治条例》要求，做好该项目的扬尘防治工作：乙方在施工过程中须做到施工现场100%围挡，工地沙土100%覆盖，拆除工程100%洒水，出工地运输车辆100%冲净车轮车身且密闭无泄漏、外墙脚手架密目式安全网100%安装，打磨作业100%湿法作业。</w:t>
      </w:r>
    </w:p>
    <w:p w14:paraId="4405C41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15-9现场配备防尘喷雾机具。</w:t>
      </w:r>
    </w:p>
    <w:p w14:paraId="488E9A9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15-10安排专人不定时现场清扫及喷雾防尘。</w:t>
      </w:r>
    </w:p>
    <w:p w14:paraId="316D497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color w:val="auto"/>
          <w:sz w:val="24"/>
          <w:szCs w:val="24"/>
          <w:highlight w:val="none"/>
          <w:lang w:val="en-US" w:eastAsia="zh-CN"/>
        </w:rPr>
        <w:t>贯彻《陕西省建筑施工扬尘治理行动方案》，创建“绿色现场”，建设“绿色工程”。</w:t>
      </w:r>
      <w:r>
        <w:rPr>
          <w:rFonts w:hint="eastAsia" w:ascii="黑体" w:hAnsi="宋体" w:eastAsia="黑体"/>
          <w:bCs/>
          <w:color w:val="auto"/>
          <w:sz w:val="30"/>
          <w:szCs w:val="30"/>
          <w:highlight w:val="none"/>
          <w:lang w:val="en-US" w:eastAsia="zh-CN"/>
        </w:rPr>
        <w:t xml:space="preserve"> </w:t>
      </w:r>
    </w:p>
    <w:p w14:paraId="13024A75">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 xml:space="preserve">第16条 </w:t>
      </w:r>
      <w:r>
        <w:rPr>
          <w:rFonts w:hint="eastAsia" w:ascii="黑体" w:hAnsi="宋体" w:eastAsia="黑体"/>
          <w:bCs/>
          <w:color w:val="auto"/>
          <w:sz w:val="30"/>
          <w:szCs w:val="30"/>
          <w:highlight w:val="none"/>
        </w:rPr>
        <w:t xml:space="preserve"> </w:t>
      </w:r>
      <w:r>
        <w:rPr>
          <w:rFonts w:hint="eastAsia" w:ascii="宋体" w:hAnsi="宋体" w:eastAsia="宋体" w:cs="宋体"/>
          <w:snapToGrid w:val="0"/>
          <w:color w:val="auto"/>
          <w:kern w:val="0"/>
          <w:sz w:val="24"/>
          <w:szCs w:val="24"/>
          <w:highlight w:val="none"/>
          <w:lang w:val="en-US" w:eastAsia="zh-CN"/>
        </w:rPr>
        <w:t>承包人应按照与农民工签订的协议或合同按时发放工资。发包人有权监督承包人在支付当期进度款中发放农民工工资。如承包人未按照与农民工签订的协议或合同按时发放工资，影响到本工程的质量、进度以及发包人声誉时，发包人有权从剩余进度款中直接发放农民工工资，并按发放金额的50%从承包人的剩余工程款中扣除予以处罚。（按照陕西省政府主管部门关于农民工工资保证金管理办法执行）。</w:t>
      </w:r>
    </w:p>
    <w:p w14:paraId="74C3BF78">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黑体" w:hAnsi="宋体" w:eastAsia="黑体"/>
          <w:color w:val="auto"/>
          <w:sz w:val="30"/>
          <w:szCs w:val="30"/>
          <w:highlight w:val="none"/>
        </w:rPr>
      </w:pPr>
      <w:r>
        <w:rPr>
          <w:rFonts w:hint="eastAsia" w:ascii="宋体" w:hAnsi="宋体" w:eastAsia="宋体" w:cs="宋体"/>
          <w:b/>
          <w:bCs/>
          <w:color w:val="auto"/>
          <w:kern w:val="2"/>
          <w:sz w:val="30"/>
          <w:szCs w:val="30"/>
          <w:highlight w:val="none"/>
          <w:lang w:val="en-US" w:eastAsia="zh-CN" w:bidi="ar-SA"/>
        </w:rPr>
        <w:t>第17条  违约、索赔</w:t>
      </w:r>
    </w:p>
    <w:p w14:paraId="22A7F4D1">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17-1  违约</w:t>
      </w:r>
    </w:p>
    <w:p w14:paraId="5809CC5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17-1-1发包人不按合同约定支付款项及发生其它严重影响合同履行的行为，应承担本合同约定的违约责任和顺延相应工期。</w:t>
      </w:r>
    </w:p>
    <w:p w14:paraId="6B138BD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17-1-2承包人不能按合同工期竣工，主要材料不符合合同约定、施工质量未达到设计和合同要求，或发生其它影响合同履行的行为，按赔偿因其违约给发包人造成的损失。</w:t>
      </w:r>
    </w:p>
    <w:p w14:paraId="312DC69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17-1-3承包人应按照其响应文件中所承诺的项目经理、技术负责人及施工管理人员每周在施工现场5天，否则接受每人缺岗一次承担1000元/每天违约处罚。</w:t>
      </w:r>
    </w:p>
    <w:p w14:paraId="7BE8EE5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17-1-4除发包人认定的影响施工条件的时间外，若因承包人原因造成工期延期，则每延期1天，承包人承担合同价款的3%的违约金。承包人支付逾期竣工违约金后，不免除承包人继续完成工程及修补缺陷的义务。</w:t>
      </w:r>
    </w:p>
    <w:p w14:paraId="7BAF0B03">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17-2  索赔</w:t>
      </w:r>
    </w:p>
    <w:p w14:paraId="2EF30FA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承包人可按以下规定向发包人索赔。</w:t>
      </w:r>
    </w:p>
    <w:p w14:paraId="67BFC49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17-2-1有正当索赔理由，且有索赔事件发生的有关证据；</w:t>
      </w:r>
    </w:p>
    <w:p w14:paraId="67EAE12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17-2-2索赔事件发生后20天内，向发包人发出要求索赔的通知；</w:t>
      </w:r>
    </w:p>
    <w:p w14:paraId="4673445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17-2-3发包人在接到索赔通知后30天内给予批准，或要求承包人进一步补充索赔理由和证据；</w:t>
      </w:r>
    </w:p>
    <w:p w14:paraId="4FC42FB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17-3承包人未能按合同约定保质保量的完成本工程、应赔偿发包人损失。</w:t>
      </w:r>
    </w:p>
    <w:p w14:paraId="2FA2F6A6">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2"/>
          <w:sz w:val="30"/>
          <w:szCs w:val="30"/>
          <w:highlight w:val="none"/>
          <w:lang w:val="en-US" w:eastAsia="zh-CN" w:bidi="ar-SA"/>
        </w:rPr>
        <w:t>第18条</w:t>
      </w:r>
      <w:r>
        <w:rPr>
          <w:rFonts w:hint="eastAsia" w:ascii="黑体" w:hAnsi="宋体" w:eastAsia="黑体"/>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在施工过程中若遇不可抗力如特殊气象原因及自然灾害等发生时，承包人应在24小时内向发包人工地代表通报受害情况，甲乙双方应及时协商解决。</w:t>
      </w:r>
    </w:p>
    <w:p w14:paraId="3547854C">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第19条</w:t>
      </w:r>
      <w:r>
        <w:rPr>
          <w:rFonts w:hint="eastAsia" w:ascii="黑体" w:hAnsi="宋体" w:eastAsia="黑体"/>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承包人不得将工程倒手转包给其他施工单位，否则发包人有权解除合同，因此而造成的一切损失由承包人承担。</w:t>
      </w:r>
    </w:p>
    <w:p w14:paraId="04611C71">
      <w:pPr>
        <w:keepNext w:val="0"/>
        <w:keepLines w:val="0"/>
        <w:pageBreakBefore w:val="0"/>
        <w:kinsoku/>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第20条</w:t>
      </w:r>
      <w:r>
        <w:rPr>
          <w:rFonts w:hint="eastAsia" w:ascii="仿宋_GB2312" w:hAnsi="宋体" w:eastAsia="仿宋_GB2312"/>
          <w:bCs/>
          <w:color w:val="auto"/>
          <w:sz w:val="30"/>
          <w:szCs w:val="30"/>
          <w:highlight w:val="none"/>
        </w:rPr>
        <w:t xml:space="preserve"> </w:t>
      </w:r>
      <w:r>
        <w:rPr>
          <w:rFonts w:hint="eastAsia" w:ascii="仿宋_GB2312" w:hAnsi="宋体" w:eastAsia="仿宋_GB2312"/>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本合同履行过程中根据合同发生的补充协议等书面形式资料均作为合同条款的补充内容，竞争性磋商文件、响应文件、工程洽商纪要为合同附件；与合同条款具有同等同期效力。</w:t>
      </w:r>
    </w:p>
    <w:p w14:paraId="0AC93DFE">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第21条  缺陷责任期</w:t>
      </w:r>
    </w:p>
    <w:p w14:paraId="1C75FE1D">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21-1工程缺陷责任期为自验收合格之日起2年。缺陷责任期满并不免除承包人的保修责任。自验收之日起保修期内，因施工原因出现的全部质量问题，由承包人负责维修并承担全部费用。</w:t>
      </w:r>
    </w:p>
    <w:p w14:paraId="1026AF01">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21-2在质保期内，如出现问题需要维修，承包人应在接到发包人通知后24个小时内派人前来维修。如不能按时到现场维修，则发包人另行委托单位维修，维修费由承包人承担。</w:t>
      </w:r>
    </w:p>
    <w:p w14:paraId="0ED57A93">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21-3承包人负责对发包人相关人员的安全、技术培训、并建立相应的规程与制度。</w:t>
      </w:r>
    </w:p>
    <w:p w14:paraId="2D7EEB45">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21-4发生紧急事故需抢修的，承包人在接到事故通知后，应当立即到达事故现场抢修。</w:t>
      </w:r>
    </w:p>
    <w:p w14:paraId="54430EA4">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-5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AF0E0C9">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21-6质量保修完成后，由发包人组织验收。</w:t>
      </w:r>
    </w:p>
    <w:p w14:paraId="7DFAD1B6">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第22条  争议</w:t>
      </w:r>
    </w:p>
    <w:p w14:paraId="5E2E243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本合同执行过程发生争议，由各方友好协商解决。协商不成或当事人不愿协商时可向发包人所在地人民法院诉讼解决。</w:t>
      </w:r>
    </w:p>
    <w:p w14:paraId="6CBF2844">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第23条  合同的解除</w:t>
      </w:r>
    </w:p>
    <w:p w14:paraId="768EF143">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23-1合同生效后除履约完成，自行解除；</w:t>
      </w:r>
    </w:p>
    <w:p w14:paraId="02F0ED22">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23-2任一方不得擅自解除，有以下情形时可以解除合同：</w:t>
      </w:r>
    </w:p>
    <w:p w14:paraId="26E500AF">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（1）各方一致同意解除合同时；</w:t>
      </w:r>
    </w:p>
    <w:p w14:paraId="56BCC4C4">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（2）承包人采购的主要材料未与发包人认可的样品一致或施工实际进度延误超过施工计划1个月时。发包人有权解除合同；一切损失由承包人承担。</w:t>
      </w:r>
    </w:p>
    <w:p w14:paraId="038E382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（3）承包人所施工的分部分项工程经两次验收均不合格；</w:t>
      </w:r>
    </w:p>
    <w:p w14:paraId="1DE10DC1">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（4）承包人擅自更换本工程项目经理；</w:t>
      </w:r>
    </w:p>
    <w:p w14:paraId="27CE7CEC">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（5）承包人未按照本合同约定及时移交工程和满足备案要求的完整竣工资料，逾期超过30天；</w:t>
      </w:r>
    </w:p>
    <w:p w14:paraId="7DB04C36">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（6）承包人欠付农民工工资、劳务费、材料款等，导致相关人员围堵发包人工地或办公经营场所或办公经营场所单次一天以上；</w:t>
      </w:r>
    </w:p>
    <w:p w14:paraId="3AEA5482">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23-3合同解除后，双方商定或确定承包人实际完成工作对应的合同价款，以及承包人已提供的材料、工程设备、施工设备和临时工程等的价值。并进行清算，出具最终结清付款证书，结清全部款项。</w:t>
      </w:r>
    </w:p>
    <w:p w14:paraId="58A73E91">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第24条  其它</w:t>
      </w:r>
    </w:p>
    <w:p w14:paraId="75440619">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24-1本合同自双方签名盖章后生效。</w:t>
      </w:r>
    </w:p>
    <w:p w14:paraId="75DE06B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24-2本合同其它未尽事宜，由各方友好协商解决。</w:t>
      </w:r>
    </w:p>
    <w:p w14:paraId="6195DEFC">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24-3本合同一式陆份，发包人执叁份、承包人执叁份，具有同等效力。</w:t>
      </w:r>
    </w:p>
    <w:p w14:paraId="2BCEDB9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p>
    <w:p w14:paraId="1BB3E92A">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发包人</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承包人</w:t>
      </w:r>
      <w:r>
        <w:rPr>
          <w:rFonts w:hint="eastAsia" w:ascii="宋体" w:hAnsi="宋体" w:eastAsia="宋体" w:cs="宋体"/>
          <w:b/>
          <w:bCs/>
          <w:color w:val="auto"/>
          <w:sz w:val="24"/>
          <w:szCs w:val="24"/>
          <w:highlight w:val="none"/>
        </w:rPr>
        <w:t>：</w:t>
      </w:r>
    </w:p>
    <w:p w14:paraId="5212B999">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p>
    <w:p w14:paraId="394673FA">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z w:val="24"/>
          <w:szCs w:val="24"/>
          <w:highlight w:val="none"/>
        </w:rPr>
        <w:t>法定代表人</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pacing w:val="4"/>
          <w:sz w:val="24"/>
          <w:szCs w:val="24"/>
          <w:highlight w:val="none"/>
        </w:rPr>
        <w:t>委托人：</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法定代表人</w:t>
      </w:r>
      <w:r>
        <w:rPr>
          <w:rFonts w:hint="eastAsia" w:ascii="宋体" w:hAnsi="宋体" w:eastAsia="宋体" w:cs="宋体"/>
          <w:b/>
          <w:bCs/>
          <w:color w:val="auto"/>
          <w:spacing w:val="4"/>
          <w:sz w:val="24"/>
          <w:szCs w:val="24"/>
          <w:highlight w:val="none"/>
          <w:lang w:val="en-US" w:eastAsia="zh-CN"/>
        </w:rPr>
        <w:t>或</w:t>
      </w:r>
      <w:r>
        <w:rPr>
          <w:rFonts w:hint="eastAsia" w:ascii="宋体" w:hAnsi="宋体" w:eastAsia="宋体" w:cs="宋体"/>
          <w:b/>
          <w:bCs/>
          <w:color w:val="auto"/>
          <w:spacing w:val="4"/>
          <w:sz w:val="24"/>
          <w:szCs w:val="24"/>
          <w:highlight w:val="none"/>
        </w:rPr>
        <w:t>委托人：</w:t>
      </w:r>
    </w:p>
    <w:p w14:paraId="5744A66E">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联系电话：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联系电话：</w:t>
      </w:r>
    </w:p>
    <w:p w14:paraId="56416260">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邮政编码：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邮政编码：</w:t>
      </w:r>
    </w:p>
    <w:p w14:paraId="617529F1">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eastAsia="宋体" w:cs="宋体"/>
          <w:b/>
          <w:bCs/>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p>
    <w:p w14:paraId="4D257F20">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cs="宋体"/>
          <w:b/>
          <w:color w:val="auto"/>
          <w:sz w:val="44"/>
          <w:szCs w:val="44"/>
          <w:highlight w:val="none"/>
        </w:rPr>
      </w:pPr>
      <w:r>
        <w:rPr>
          <w:rFonts w:hint="eastAsia" w:ascii="宋体" w:hAnsi="宋体" w:eastAsia="宋体" w:cs="宋体"/>
          <w:b/>
          <w:bCs/>
          <w:color w:val="auto"/>
          <w:spacing w:val="4"/>
          <w:sz w:val="24"/>
          <w:szCs w:val="24"/>
          <w:highlight w:val="none"/>
        </w:rPr>
        <w:t>签订日期：</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年</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月</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日</w:t>
      </w:r>
    </w:p>
    <w:p w14:paraId="4BA07C6A">
      <w:pPr>
        <w:spacing w:line="440" w:lineRule="exact"/>
        <w:rPr>
          <w:rFonts w:hint="eastAsia" w:ascii="宋体" w:hAnsi="宋体" w:eastAsia="宋体" w:cs="宋体"/>
          <w:color w:val="auto"/>
          <w:sz w:val="24"/>
          <w:szCs w:val="24"/>
          <w:highlight w:val="none"/>
        </w:rPr>
      </w:pPr>
      <w:r>
        <w:rPr>
          <w:rFonts w:hint="eastAsia" w:ascii="宋体" w:hAnsi="宋体" w:cs="宋体"/>
          <w:color w:val="auto"/>
          <w:szCs w:val="21"/>
          <w:highlight w:val="none"/>
        </w:rPr>
        <w:br w:type="page"/>
      </w:r>
      <w:bookmarkStart w:id="0" w:name="_Toc3548_WPSOffice_Level2"/>
      <w:r>
        <w:rPr>
          <w:rFonts w:hint="eastAsia" w:ascii="宋体" w:hAnsi="宋体" w:eastAsia="宋体" w:cs="宋体"/>
          <w:color w:val="auto"/>
          <w:sz w:val="24"/>
          <w:szCs w:val="24"/>
          <w:highlight w:val="none"/>
        </w:rPr>
        <w:t>附</w:t>
      </w:r>
      <w:bookmarkStart w:id="1" w:name="_Toc296891266"/>
      <w:bookmarkStart w:id="2" w:name="_Toc296944565"/>
      <w:bookmarkStart w:id="3" w:name="_Toc296347225"/>
      <w:bookmarkStart w:id="4" w:name="_Toc267261693"/>
      <w:bookmarkStart w:id="5" w:name="_Toc296891054"/>
      <w:bookmarkStart w:id="6" w:name="_Toc296346727"/>
      <w:bookmarkStart w:id="7" w:name="_Toc296503226"/>
      <w:r>
        <w:rPr>
          <w:rFonts w:hint="eastAsia" w:ascii="宋体" w:hAnsi="宋体" w:eastAsia="宋体" w:cs="宋体"/>
          <w:color w:val="auto"/>
          <w:sz w:val="24"/>
          <w:szCs w:val="24"/>
          <w:highlight w:val="none"/>
        </w:rPr>
        <w:t>件：</w:t>
      </w:r>
      <w:bookmarkEnd w:id="0"/>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w:t>
      </w:r>
    </w:p>
    <w:p w14:paraId="65C95E17">
      <w:pPr>
        <w:spacing w:before="120" w:beforeLines="50" w:after="120"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0BE85A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2CC8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5794AB">
      <w:pPr>
        <w:spacing w:line="360" w:lineRule="auto"/>
        <w:rPr>
          <w:rFonts w:hint="eastAsia" w:ascii="宋体" w:hAnsi="宋体" w:eastAsia="宋体" w:cs="宋体"/>
          <w:color w:val="auto"/>
          <w:sz w:val="24"/>
          <w:szCs w:val="24"/>
          <w:highlight w:val="none"/>
        </w:rPr>
      </w:pPr>
    </w:p>
    <w:p w14:paraId="46C5FD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5722AD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6180F7E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2B95A87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3EA5A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p>
    <w:p w14:paraId="1F0B63CE">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61BB3D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3DD57C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4F56A5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年；</w:t>
      </w:r>
    </w:p>
    <w:p w14:paraId="1D9C7A2E">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0B67B045">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2D3220DD">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个采暖期、供冷期；</w:t>
      </w:r>
    </w:p>
    <w:p w14:paraId="5BCC077D">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2A1842FE">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工程质量保修期为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年，所有苗木养护期均为</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年；</w:t>
      </w:r>
    </w:p>
    <w:p w14:paraId="37F73EB7">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8．其他项目保修期限约定如下：</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1CCC32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7DBB8E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0092D8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个月，缺陷责任期自工程竣工验收合格之日起计算。单位工程先于全部工程进行验收，单位工程缺陷责任期自单位工程验收合格之日起算。</w:t>
      </w:r>
    </w:p>
    <w:p w14:paraId="67DF71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14:paraId="78CF45E2">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5F183CC">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1EC43476">
      <w:pPr>
        <w:keepNext w:val="0"/>
        <w:keepLines w:val="0"/>
        <w:pageBreakBefore w:val="0"/>
        <w:widowControl/>
        <w:kinsoku/>
        <w:wordWrap/>
        <w:overflowPunct/>
        <w:topLinePunct w:val="0"/>
        <w:autoSpaceDE w:val="0"/>
        <w:autoSpaceDN w:val="0"/>
        <w:bidi w:val="0"/>
        <w:adjustRightInd w:val="0"/>
        <w:snapToGrid w:val="0"/>
        <w:spacing w:line="360" w:lineRule="auto"/>
        <w:ind w:left="105" w:leftChars="50" w:firstLine="491" w:firstLineChars="20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1FBA921">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firstLine="120" w:firstLineChars="5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3A180C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5CCB35C0">
      <w:pPr>
        <w:spacing w:line="360" w:lineRule="auto"/>
        <w:ind w:firstLine="4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2A3F7D6C">
      <w:pPr>
        <w:spacing w:line="360" w:lineRule="auto"/>
        <w:ind w:firstLine="40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E0A402">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63B95F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p>
    <w:p w14:paraId="34544F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3C76BE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4127A5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4753D4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38859F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1D9D433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5210A8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51D6D318">
      <w:pPr>
        <w:spacing w:before="92" w:line="24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4A4785C7">
      <w:pPr>
        <w:spacing w:before="92" w:line="240" w:lineRule="exact"/>
        <w:ind w:left="4419"/>
        <w:rPr>
          <w:rFonts w:hint="eastAsia" w:ascii="宋体" w:hAnsi="宋体" w:eastAsia="宋体" w:cs="宋体"/>
          <w:color w:val="auto"/>
          <w:sz w:val="24"/>
          <w:szCs w:val="24"/>
          <w:highlight w:val="none"/>
          <w:u w:val="single"/>
        </w:rPr>
      </w:pPr>
    </w:p>
    <w:p w14:paraId="70C5EB17"/>
    <w:sectPr>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YTZmMTU4N2QwYjRmYjY2ZjgzZTgzODhmZDA2ZTkifQ=="/>
  </w:docVars>
  <w:rsids>
    <w:rsidRoot w:val="00000000"/>
    <w:rsid w:val="00617BAE"/>
    <w:rsid w:val="03431191"/>
    <w:rsid w:val="05704DD8"/>
    <w:rsid w:val="09BA7A15"/>
    <w:rsid w:val="0A876A93"/>
    <w:rsid w:val="0BF1011A"/>
    <w:rsid w:val="0C0149DC"/>
    <w:rsid w:val="0E4137B5"/>
    <w:rsid w:val="0E5B4FD9"/>
    <w:rsid w:val="0EB14497"/>
    <w:rsid w:val="0FE419F4"/>
    <w:rsid w:val="10137041"/>
    <w:rsid w:val="11904893"/>
    <w:rsid w:val="11F34DC7"/>
    <w:rsid w:val="12E72AE5"/>
    <w:rsid w:val="148A748F"/>
    <w:rsid w:val="14BE062E"/>
    <w:rsid w:val="154D2A40"/>
    <w:rsid w:val="15C172CC"/>
    <w:rsid w:val="17B154BD"/>
    <w:rsid w:val="18176C7A"/>
    <w:rsid w:val="1B171B26"/>
    <w:rsid w:val="1B400967"/>
    <w:rsid w:val="1C4E374A"/>
    <w:rsid w:val="24BF60E6"/>
    <w:rsid w:val="272A2EB2"/>
    <w:rsid w:val="28E7613D"/>
    <w:rsid w:val="29A473B4"/>
    <w:rsid w:val="2DAE5786"/>
    <w:rsid w:val="323E139A"/>
    <w:rsid w:val="36007566"/>
    <w:rsid w:val="37C63D86"/>
    <w:rsid w:val="39973243"/>
    <w:rsid w:val="3B8A37F6"/>
    <w:rsid w:val="3C420AA3"/>
    <w:rsid w:val="3CA54C8F"/>
    <w:rsid w:val="3E556DD3"/>
    <w:rsid w:val="405A7761"/>
    <w:rsid w:val="43D11A93"/>
    <w:rsid w:val="45977A58"/>
    <w:rsid w:val="4A314103"/>
    <w:rsid w:val="4CB32B59"/>
    <w:rsid w:val="4ED26012"/>
    <w:rsid w:val="4F061B8E"/>
    <w:rsid w:val="50E470C5"/>
    <w:rsid w:val="51631477"/>
    <w:rsid w:val="51AF1A39"/>
    <w:rsid w:val="51D8257E"/>
    <w:rsid w:val="53C65C2D"/>
    <w:rsid w:val="549B4DB8"/>
    <w:rsid w:val="55265DB5"/>
    <w:rsid w:val="55755ACD"/>
    <w:rsid w:val="557D2127"/>
    <w:rsid w:val="561B7A15"/>
    <w:rsid w:val="566D565D"/>
    <w:rsid w:val="56F720E6"/>
    <w:rsid w:val="59DE08D6"/>
    <w:rsid w:val="5A0424F3"/>
    <w:rsid w:val="5B1C61FB"/>
    <w:rsid w:val="5D235C93"/>
    <w:rsid w:val="5EAC0A97"/>
    <w:rsid w:val="5ECA64BB"/>
    <w:rsid w:val="61D13D7D"/>
    <w:rsid w:val="63043D0B"/>
    <w:rsid w:val="65C02ADD"/>
    <w:rsid w:val="68653DCA"/>
    <w:rsid w:val="6C9F43D9"/>
    <w:rsid w:val="6DE54739"/>
    <w:rsid w:val="6E9C74ED"/>
    <w:rsid w:val="6F347F1E"/>
    <w:rsid w:val="747D56CB"/>
    <w:rsid w:val="76A2766B"/>
    <w:rsid w:val="76EE065D"/>
    <w:rsid w:val="7BDD7956"/>
    <w:rsid w:val="7D957F29"/>
    <w:rsid w:val="7DA71A0B"/>
    <w:rsid w:val="7EB82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5"/>
    <w:qFormat/>
    <w:uiPriority w:val="0"/>
    <w:pPr>
      <w:ind w:firstLine="630"/>
    </w:pPr>
    <w:rPr>
      <w:sz w:val="32"/>
      <w:szCs w:val="20"/>
    </w:rPr>
  </w:style>
  <w:style w:type="paragraph" w:customStyle="1" w:styleId="5">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6">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7">
    <w:name w:val="Title"/>
    <w:basedOn w:val="1"/>
    <w:next w:val="1"/>
    <w:qFormat/>
    <w:uiPriority w:val="0"/>
    <w:pPr>
      <w:spacing w:before="240" w:after="60"/>
      <w:jc w:val="center"/>
      <w:outlineLvl w:val="0"/>
    </w:pPr>
    <w:rPr>
      <w:rFonts w:ascii="Calibri Light" w:hAnsi="Calibri Light"/>
      <w:b/>
      <w:bCs/>
      <w:sz w:val="32"/>
      <w:szCs w:val="32"/>
    </w:rPr>
  </w:style>
  <w:style w:type="paragraph" w:styleId="8">
    <w:name w:val="Body Text First Indent"/>
    <w:basedOn w:val="3"/>
    <w:next w:val="1"/>
    <w:unhideWhenUsed/>
    <w:qFormat/>
    <w:uiPriority w:val="99"/>
    <w:pPr>
      <w:ind w:firstLine="420" w:firstLineChars="100"/>
    </w:pPr>
    <w:rPr>
      <w:szCs w:val="24"/>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6061</Words>
  <Characters>6342</Characters>
  <Lines>0</Lines>
  <Paragraphs>0</Paragraphs>
  <TotalTime>87</TotalTime>
  <ScaleCrop>false</ScaleCrop>
  <LinksUpToDate>false</LinksUpToDate>
  <CharactersWithSpaces>7424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2023-05-31T07:10:00Z</dcterms:created>
  <dc:creator>Administrator</dc:creator>
  <cp:lastModifiedBy>小名王钢蛋儿</cp:lastModifiedBy>
  <dcterms:modified xsi:type="dcterms:W3CDTF">2025-06-23T11:36:00Z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165D624AAC774B3E9E538B7D770D62EF_13</vt:lpwstr>
  </property>
  <property fmtid="{D5CDD505-2E9C-101B-9397-08002B2CF9AE}" pid="4" name="KSOTemplateDocerSaveRecord">
    <vt:lpwstr>eyJoZGlkIjoiZjljYzJlNmJhNmQyNWU1ZGFiMjU0N2E1ODNhMGQzZmQiLCJ1c2VySWQiOiIxMzg0Nzg2NzMyIn0=</vt:lpwstr>
  </property>
</Properties>
</file>