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版本号：ZJXG202504720250626002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台式计算机设备采购</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ZJXG2025047</w:t>
      </w:r>
      <w:r>
        <w:br/>
      </w:r>
      <w:r>
        <w:br/>
      </w:r>
      <w:r>
        <w:br/>
      </w:r>
    </w:p>
    <w:p>
      <w:pPr>
        <w:pStyle w:val="null3"/>
        <w:jc w:val="center"/>
        <w:outlineLvl w:val="2"/>
      </w:pPr>
      <w:r>
        <w:rPr>
          <w:rFonts w:ascii="仿宋_GB2312" w:hAnsi="仿宋_GB2312" w:cs="仿宋_GB2312" w:eastAsia="仿宋_GB2312"/>
          <w:sz w:val="28"/>
          <w:b/>
        </w:rPr>
        <w:t>西安市第三十八中学</w:t>
      </w:r>
    </w:p>
    <w:p>
      <w:pPr>
        <w:pStyle w:val="null3"/>
        <w:jc w:val="center"/>
        <w:outlineLvl w:val="2"/>
      </w:pPr>
      <w:r>
        <w:rPr>
          <w:rFonts w:ascii="仿宋_GB2312" w:hAnsi="仿宋_GB2312" w:cs="仿宋_GB2312" w:eastAsia="仿宋_GB2312"/>
          <w:sz w:val="28"/>
          <w:b/>
        </w:rPr>
        <w:t>陕西中鉴项目管理有限公司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2025年06月25日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陕西中鉴项目管理有限公司</w:t>
      </w:r>
      <w:r>
        <w:rPr>
          <w:rFonts w:ascii="仿宋_GB2312" w:hAnsi="仿宋_GB2312" w:cs="仿宋_GB2312" w:eastAsia="仿宋_GB2312"/>
        </w:rPr>
        <w:t>（以下简称“代理机构”）受</w:t>
      </w:r>
      <w:r>
        <w:rPr>
          <w:rFonts w:ascii="仿宋_GB2312" w:hAnsi="仿宋_GB2312" w:cs="仿宋_GB2312" w:eastAsia="仿宋_GB2312"/>
        </w:rPr>
        <w:t>西安市第三十八中学</w:t>
      </w:r>
      <w:r>
        <w:rPr>
          <w:rFonts w:ascii="仿宋_GB2312" w:hAnsi="仿宋_GB2312" w:cs="仿宋_GB2312" w:eastAsia="仿宋_GB2312"/>
        </w:rPr>
        <w:t>委托，拟对</w:t>
      </w:r>
      <w:r>
        <w:rPr>
          <w:rFonts w:ascii="仿宋_GB2312" w:hAnsi="仿宋_GB2312" w:cs="仿宋_GB2312" w:eastAsia="仿宋_GB2312"/>
        </w:rPr>
        <w:t>台式计算机设备采购</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ZJXG2025047</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台式计算机设备采购</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西安市第三十八中学台式计算机设备采购，详见竞争性磋商文件。</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1、有效的资格证明主体：具有独立承担民事责任能力的法人、其他组织或自然人，并出具合法有效的相关证明材料。供应商需在项目电子化交易系统中按要求上传相应证明文件并进行电子签章；</w:t>
      </w:r>
    </w:p>
    <w:p>
      <w:pPr>
        <w:pStyle w:val="null3"/>
      </w:pPr>
      <w:r>
        <w:rPr>
          <w:rFonts w:ascii="仿宋_GB2312" w:hAnsi="仿宋_GB2312" w:cs="仿宋_GB2312" w:eastAsia="仿宋_GB2312"/>
        </w:rPr>
        <w:t>2、财务状况报告：提供2023或2024年的财务审计报告（成立时间至提交响应文件截止时间不足一年的可提供成立后任意时段的资产负债表）或其基本存款账户开户银行出具的资信证明及基本存款账户开户许可证（基本账户存款信息）。供应商需在项目电子化交易系统中按要求上传相应证明文件并进行电子签章；</w:t>
      </w:r>
    </w:p>
    <w:p>
      <w:pPr>
        <w:pStyle w:val="null3"/>
      </w:pPr>
      <w:r>
        <w:rPr>
          <w:rFonts w:ascii="仿宋_GB2312" w:hAnsi="仿宋_GB2312" w:cs="仿宋_GB2312" w:eastAsia="仿宋_GB2312"/>
        </w:rPr>
        <w:t>3、税收缴纳证明：提供2024年1月至今已缴纳的1个月的纳税证明或完税证明，依法免税的单位应提供相关证明材料。供应商需在项目电子化交易系统中按要求上传相应证明文件并进行电子签章；</w:t>
      </w:r>
    </w:p>
    <w:p>
      <w:pPr>
        <w:pStyle w:val="null3"/>
      </w:pPr>
      <w:r>
        <w:rPr>
          <w:rFonts w:ascii="仿宋_GB2312" w:hAnsi="仿宋_GB2312" w:cs="仿宋_GB2312" w:eastAsia="仿宋_GB2312"/>
        </w:rPr>
        <w:t>4、社会保障资金缴纳证明：提供2024年1月至今已缴纳的1个月的社会保障资金缴存单据或社保机构开具的社会保险参保缴费情况证明，依法不需要缴纳社会保障资金的单位应提供相关证明材料。供应商需在项目电子化交易系统中按要求上传相应证明文件并进行电子签章；</w:t>
      </w:r>
    </w:p>
    <w:p>
      <w:pPr>
        <w:pStyle w:val="null3"/>
      </w:pPr>
      <w:r>
        <w:rPr>
          <w:rFonts w:ascii="仿宋_GB2312" w:hAnsi="仿宋_GB2312" w:cs="仿宋_GB2312" w:eastAsia="仿宋_GB2312"/>
        </w:rPr>
        <w:t>5、履行合同所必需的设备和专业技术能力：提供具有履行合同所必需的设备和专业技术能力的承诺。供应商需在项目电子化交易系统中按要求上传相应证明文件并进行电子签章；</w:t>
      </w:r>
    </w:p>
    <w:p>
      <w:pPr>
        <w:pStyle w:val="null3"/>
      </w:pPr>
      <w:r>
        <w:rPr>
          <w:rFonts w:ascii="仿宋_GB2312" w:hAnsi="仿宋_GB2312" w:cs="仿宋_GB2312" w:eastAsia="仿宋_GB2312"/>
        </w:rPr>
        <w:t>6、前三年无重大违法记录声明：参加政府采购活动前三年内，在经营活动中没有重大违法记录的书面声明（成立时间至提交响应文件截止时间不足三年的可提供成立至今的书面声明）。供应商需在项目电子化交易系统中按要求上传相应证明文件并进行电子签章；</w:t>
      </w:r>
    </w:p>
    <w:p>
      <w:pPr>
        <w:pStyle w:val="null3"/>
      </w:pPr>
      <w:r>
        <w:rPr>
          <w:rFonts w:ascii="仿宋_GB2312" w:hAnsi="仿宋_GB2312" w:cs="仿宋_GB2312" w:eastAsia="仿宋_GB2312"/>
        </w:rPr>
        <w:t>7、授权书及被授权人身份证：法定代表人（单位负责人）授权委托书（附法定代表人（单位负责人）、被授权人身份证复印件及被授权人近三个月在本单位社保缴纳的证明资料）（法定代表人（单位负责人）直接参加的，须提供法定代表人（单位负责人）身份证明书及身份证复印件且与营业执照上信息须一致），非法人单位参照执行。供应商需在项目电子化交易系统中按要求上传相应证明文件并进行电子签章；</w:t>
      </w:r>
    </w:p>
    <w:p>
      <w:pPr>
        <w:pStyle w:val="null3"/>
      </w:pPr>
      <w:r>
        <w:rPr>
          <w:rFonts w:ascii="仿宋_GB2312" w:hAnsi="仿宋_GB2312" w:cs="仿宋_GB2312" w:eastAsia="仿宋_GB2312"/>
        </w:rPr>
        <w:t>8、信用查询：供应商不得为“信用中国(www.creditchina.gov.cn)”中列入失信被执行人和重大税收违法案件当事人名单的供应商，不得为“中国政府采购网(www.ccgp.gov.cn)”政府采购严重违法失信行为记录名单中被财政部门禁止参加政府采购活动的供应商（采购代理机构查询，节点为响应文件递交截止之时）；</w:t>
      </w:r>
    </w:p>
    <w:p>
      <w:pPr>
        <w:pStyle w:val="null3"/>
      </w:pPr>
      <w:r>
        <w:rPr>
          <w:rFonts w:ascii="仿宋_GB2312" w:hAnsi="仿宋_GB2312" w:cs="仿宋_GB2312" w:eastAsia="仿宋_GB2312"/>
        </w:rPr>
        <w:t>9、其他要求：①单位负责人为同一人或者存在直接控股、管理关系的不同供应商不得参加同一合同项下的政府采购活动。②为本项目提供整体设计、规范编制或者项目管理、监理、检测等服务的供应商，不得再参加该采购项目的其他采购活动；供应商需在项目电子化交易系统中按要求上传相应证明文件并进行电子签章；</w:t>
      </w:r>
    </w:p>
    <w:p>
      <w:pPr>
        <w:pStyle w:val="null3"/>
      </w:pPr>
      <w:r>
        <w:rPr>
          <w:rFonts w:ascii="仿宋_GB2312" w:hAnsi="仿宋_GB2312" w:cs="仿宋_GB2312" w:eastAsia="仿宋_GB2312"/>
        </w:rPr>
        <w:t>10、是否接受联合体投标：本项目不接受联合体投标，供应商需在项目电子化交易系统中按要求上传相应证明文件并进行电子签章。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 xml:space="preserve"> 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西安市第三十八中学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西安市太华南路226号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孔老师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029-86350069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陕西中鉴项目管理有限公司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陕西省西安市未央区未央路109号万象未央1号楼506室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曹增辉</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029-88229191</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西安市新城区政府采购管理股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刘婷</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029-87438480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w:t>
            </w:r>
          </w:p>
          <w:p>
            <w:pPr>
              <w:pStyle w:val="null3"/>
            </w:pPr>
            <w:r>
              <w:rPr>
                <w:rFonts w:ascii="仿宋_GB2312" w:hAnsi="仿宋_GB2312" w:cs="仿宋_GB2312" w:eastAsia="仿宋_GB2312"/>
              </w:rPr>
              <w:t xml:space="preserve">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招标代理服务费参照国家计委颁发的《招标代理服务收费管理暂行办法》（计价格〔2002〕1980号）和国家发展和改革委员会办公厅颁发的《关于招标代理服务收费有关问题的通知》（发改办价格〔2003〕857号）的文件收费标准计取。 成交单位服务费交纳信息 银行户名：陕西中鉴项目管理有限公司 开户行：招商银行股份有限公司西安分行营业部 账号：129911072510777</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西安市第三十八中学</w:t>
      </w:r>
      <w:r>
        <w:rPr>
          <w:rFonts w:ascii="仿宋_GB2312" w:hAnsi="仿宋_GB2312" w:cs="仿宋_GB2312" w:eastAsia="仿宋_GB2312"/>
        </w:rPr>
        <w:t>和</w:t>
      </w:r>
      <w:r>
        <w:rPr>
          <w:rFonts w:ascii="仿宋_GB2312" w:hAnsi="仿宋_GB2312" w:cs="仿宋_GB2312" w:eastAsia="仿宋_GB2312"/>
        </w:rPr>
        <w:t>陕西中鉴项目管理有限公司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西安市第三十八中学</w:t>
      </w:r>
      <w:r>
        <w:rPr>
          <w:rFonts w:ascii="仿宋_GB2312" w:hAnsi="仿宋_GB2312" w:cs="仿宋_GB2312" w:eastAsia="仿宋_GB2312"/>
        </w:rPr>
        <w:t>负责解释。除上述磋商文件内容，其他内容由</w:t>
      </w:r>
      <w:r>
        <w:rPr>
          <w:rFonts w:ascii="仿宋_GB2312" w:hAnsi="仿宋_GB2312" w:cs="仿宋_GB2312" w:eastAsia="仿宋_GB2312"/>
        </w:rPr>
        <w:t>陕西中鉴项目管理有限公司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一、“采购人”是指依法进行政府采购的各级国家机关、事业单位、团体组织。本次磋商的采购人是{采购人名称}。</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陕西中鉴项目管理有限公司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2.3.2磋商文件的澄清和修改</w:t>
      </w:r>
    </w:p>
    <w:p>
      <w:pPr>
        <w:pStyle w:val="null3"/>
        <w:ind w:firstLine="480"/>
      </w:pPr>
      <w:r>
        <w:rPr>
          <w:rFonts w:ascii="仿宋_GB2312" w:hAnsi="仿宋_GB2312" w:cs="仿宋_GB2312" w:eastAsia="仿宋_GB2312"/>
        </w:rPr>
        <w:t xml:space="preserve"> 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一、响应文件应当根据磋商文件进行编制。供应商应通过陕西省政府采购网--办事指南-CA及签章服务下载投标（响应）客户端，使用客户端编制响应文件。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 xml:space="preserve"> 一、供应商应当在提交响应文件截止时间前，通过项目电子化交易系统完成首次响应文件提交。</w:t>
      </w:r>
    </w:p>
    <w:p>
      <w:pPr>
        <w:pStyle w:val="null3"/>
        <w:ind w:firstLine="480"/>
      </w:pPr>
      <w:r>
        <w:rPr>
          <w:rFonts w:ascii="仿宋_GB2312" w:hAnsi="仿宋_GB2312" w:cs="仿宋_GB2312" w:eastAsia="仿宋_GB2312"/>
        </w:rPr>
        <w:t xml:space="preserve"> 二、在提交响应文件截止时间后，代理机构不再接受供应商提交响应文件。供应商应充分考虑影响响应文件提交的各种因素，确保在提交响应文件截止时间前完成提交。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 xml:space="preserve"> 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按照竞争性磋商文件及成交供应商竞争性磋商响应文件进行履约验收。</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 xml:space="preserve"> 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 xml:space="preserve"> （三）不同供应商的响应文件载明的项目管理成员或者联系人员为同一人；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 xml:space="preserve"> 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 xml:space="preserve"> （四）与供应商的法定代表人或者负责人有夫妻、直系血亲、三代以内旁系血亲或者近姻亲关系；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陕西中鉴项目管理有限公司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陕西中鉴项目管理有限公司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陕西中鉴项目管理有限公司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联系人：曹增辉</w:t>
      </w:r>
    </w:p>
    <w:p>
      <w:pPr>
        <w:pStyle w:val="null3"/>
      </w:pPr>
      <w:r>
        <w:rPr>
          <w:rFonts w:ascii="仿宋_GB2312" w:hAnsi="仿宋_GB2312" w:cs="仿宋_GB2312" w:eastAsia="仿宋_GB2312"/>
        </w:rPr>
        <w:t>联系电话：029-88229191</w:t>
      </w:r>
    </w:p>
    <w:p>
      <w:pPr>
        <w:pStyle w:val="null3"/>
      </w:pPr>
      <w:r>
        <w:rPr>
          <w:rFonts w:ascii="仿宋_GB2312" w:hAnsi="仿宋_GB2312" w:cs="仿宋_GB2312" w:eastAsia="仿宋_GB2312"/>
        </w:rPr>
        <w:t>地址：陕西省西安市未央区未央路109号万象未央1号楼506室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 xml:space="preserve"> 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西安市第三十八中学台式计算机设备采购，详见竞争性磋商文件。</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600,000.00</w:t>
      </w:r>
    </w:p>
    <w:p>
      <w:pPr>
        <w:pStyle w:val="null3"/>
      </w:pPr>
      <w:r>
        <w:rPr>
          <w:rFonts w:ascii="仿宋_GB2312" w:hAnsi="仿宋_GB2312" w:cs="仿宋_GB2312" w:eastAsia="仿宋_GB2312"/>
        </w:rPr>
        <w:t>采购包最高限价（元）: 600,000.00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台式计算机设备采购</w:t>
            </w:r>
          </w:p>
        </w:tc>
        <w:tc>
          <w:tcPr>
            <w:tcW w:type="dxa" w:w="831"/>
          </w:tcPr>
          <w:p>
            <w:pPr>
              <w:pStyle w:val="null3"/>
              <w:jc w:val="right"/>
            </w:pPr>
            <w:r>
              <w:rPr>
                <w:rFonts w:ascii="仿宋_GB2312" w:hAnsi="仿宋_GB2312" w:cs="仿宋_GB2312" w:eastAsia="仿宋_GB2312"/>
              </w:rPr>
              <w:t>120.00</w:t>
            </w:r>
          </w:p>
        </w:tc>
        <w:tc>
          <w:tcPr>
            <w:tcW w:type="dxa" w:w="831"/>
          </w:tcPr>
          <w:p>
            <w:pPr>
              <w:pStyle w:val="null3"/>
              <w:jc w:val="right"/>
            </w:pPr>
            <w:r>
              <w:rPr>
                <w:rFonts w:ascii="仿宋_GB2312" w:hAnsi="仿宋_GB2312" w:cs="仿宋_GB2312" w:eastAsia="仿宋_GB2312"/>
              </w:rPr>
              <w:t>600,000.00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标的名称：台式计算机设备采购</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522"/>
              <w:gridCol w:w="2031"/>
            </w:tblGrid>
            <w:tr>
              <w:tc>
                <w:tcPr>
                  <w:tcW w:type="dxa" w:w="52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名称</w:t>
                  </w:r>
                </w:p>
              </w:tc>
              <w:tc>
                <w:tcPr>
                  <w:tcW w:type="dxa" w:w="203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规格参数</w:t>
                  </w:r>
                </w:p>
              </w:tc>
            </w:tr>
            <w:tr>
              <w:tc>
                <w:tcPr>
                  <w:tcW w:type="dxa" w:w="5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办公电脑</w:t>
                  </w:r>
                </w:p>
              </w:tc>
              <w:tc>
                <w:tcPr>
                  <w:tcW w:type="dxa" w:w="20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ARM架构，</w:t>
                  </w:r>
                  <w:r>
                    <w:rPr>
                      <w:rFonts w:ascii="仿宋_GB2312" w:hAnsi="仿宋_GB2312" w:cs="仿宋_GB2312" w:eastAsia="仿宋_GB2312"/>
                      <w:sz w:val="21"/>
                    </w:rPr>
                    <w:t>CPU：核心数≥8核，主频≥2.3GHz，TDP≤15W</w:t>
                  </w:r>
                </w:p>
                <w:p>
                  <w:pPr>
                    <w:pStyle w:val="null3"/>
                    <w:ind w:firstLine="210"/>
                    <w:jc w:val="both"/>
                  </w:pPr>
                  <w:r>
                    <w:rPr>
                      <w:rFonts w:ascii="仿宋_GB2312" w:hAnsi="仿宋_GB2312" w:cs="仿宋_GB2312" w:eastAsia="仿宋_GB2312"/>
                      <w:sz w:val="21"/>
                    </w:rPr>
                    <w:t>2、CPU支持的内存速率≥3200MT/s</w:t>
                  </w:r>
                </w:p>
                <w:p>
                  <w:pPr>
                    <w:pStyle w:val="null3"/>
                    <w:jc w:val="both"/>
                  </w:pPr>
                  <w:r>
                    <w:rPr>
                      <w:rFonts w:ascii="仿宋_GB2312" w:hAnsi="仿宋_GB2312" w:cs="仿宋_GB2312" w:eastAsia="仿宋_GB2312"/>
                      <w:sz w:val="21"/>
                    </w:rPr>
                    <w:t>▲3、内存≥16G</w:t>
                  </w:r>
                  <w:r>
                    <w:rPr>
                      <w:rFonts w:ascii="仿宋_GB2312" w:hAnsi="仿宋_GB2312" w:cs="仿宋_GB2312" w:eastAsia="仿宋_GB2312"/>
                      <w:sz w:val="21"/>
                    </w:rPr>
                    <w:t>，</w:t>
                  </w:r>
                  <w:r>
                    <w:rPr>
                      <w:rFonts w:ascii="仿宋_GB2312" w:hAnsi="仿宋_GB2312" w:cs="仿宋_GB2312" w:eastAsia="仿宋_GB2312"/>
                      <w:sz w:val="21"/>
                    </w:rPr>
                    <w:t>DDR4/LPDDR4及以上</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、硬盘</w:t>
                  </w:r>
                  <w:r>
                    <w:rPr>
                      <w:rFonts w:ascii="仿宋_GB2312" w:hAnsi="仿宋_GB2312" w:cs="仿宋_GB2312" w:eastAsia="仿宋_GB2312"/>
                      <w:sz w:val="21"/>
                    </w:rPr>
                    <w:t>≥256GB固态硬盘+1TB机械硬盘</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、集成显卡或国产独立显卡</w:t>
                  </w:r>
                </w:p>
                <w:p>
                  <w:pPr>
                    <w:pStyle w:val="null3"/>
                    <w:jc w:val="both"/>
                  </w:pPr>
                  <w:r>
                    <w:rPr>
                      <w:rFonts w:ascii="仿宋_GB2312" w:hAnsi="仿宋_GB2312" w:cs="仿宋_GB2312" w:eastAsia="仿宋_GB2312"/>
                      <w:sz w:val="21"/>
                    </w:rPr>
                    <w:t>6</w:t>
                  </w:r>
                  <w:r>
                    <w:rPr>
                      <w:rFonts w:ascii="仿宋_GB2312" w:hAnsi="仿宋_GB2312" w:cs="仿宋_GB2312" w:eastAsia="仿宋_GB2312"/>
                      <w:sz w:val="21"/>
                    </w:rPr>
                    <w:t>、主板集成</w:t>
                  </w:r>
                  <w:r>
                    <w:rPr>
                      <w:rFonts w:ascii="仿宋_GB2312" w:hAnsi="仿宋_GB2312" w:cs="仿宋_GB2312" w:eastAsia="仿宋_GB2312"/>
                      <w:sz w:val="21"/>
                    </w:rPr>
                    <w:t>10/100/1000M自适应以太网卡</w:t>
                  </w:r>
                </w:p>
                <w:p>
                  <w:pPr>
                    <w:pStyle w:val="null3"/>
                    <w:jc w:val="both"/>
                  </w:pPr>
                  <w:r>
                    <w:rPr>
                      <w:rFonts w:ascii="仿宋_GB2312" w:hAnsi="仿宋_GB2312" w:cs="仿宋_GB2312" w:eastAsia="仿宋_GB2312"/>
                      <w:sz w:val="21"/>
                    </w:rPr>
                    <w:t>7</w:t>
                  </w:r>
                  <w:r>
                    <w:rPr>
                      <w:rFonts w:ascii="仿宋_GB2312" w:hAnsi="仿宋_GB2312" w:cs="仿宋_GB2312" w:eastAsia="仿宋_GB2312"/>
                      <w:sz w:val="21"/>
                    </w:rPr>
                    <w:t>、同品牌抗菌键盘、鼠标</w:t>
                  </w:r>
                </w:p>
                <w:p>
                  <w:pPr>
                    <w:pStyle w:val="null3"/>
                    <w:ind w:left="420"/>
                    <w:jc w:val="both"/>
                  </w:pPr>
                  <w:r>
                    <w:rPr>
                      <w:rFonts w:ascii="仿宋_GB2312" w:hAnsi="仿宋_GB2312" w:cs="仿宋_GB2312" w:eastAsia="仿宋_GB2312"/>
                      <w:sz w:val="21"/>
                    </w:rPr>
                    <w:t>8</w:t>
                  </w:r>
                  <w:r>
                    <w:rPr>
                      <w:rFonts w:ascii="仿宋_GB2312" w:hAnsi="仿宋_GB2312" w:cs="仿宋_GB2312" w:eastAsia="仿宋_GB2312"/>
                      <w:sz w:val="21"/>
                    </w:rPr>
                    <w:t>、</w:t>
                  </w:r>
                  <w:r>
                    <w:rPr>
                      <w:rFonts w:ascii="仿宋_GB2312" w:hAnsi="仿宋_GB2312" w:cs="仿宋_GB2312" w:eastAsia="仿宋_GB2312"/>
                      <w:sz w:val="21"/>
                    </w:rPr>
                    <w:t>USB接口数量：≥8个主板原生USB接口（含Type-C），其中原生USB 3.0接口≥6个</w:t>
                  </w:r>
                </w:p>
                <w:p>
                  <w:pPr>
                    <w:pStyle w:val="null3"/>
                    <w:jc w:val="both"/>
                  </w:pPr>
                  <w:r>
                    <w:rPr>
                      <w:rFonts w:ascii="仿宋_GB2312" w:hAnsi="仿宋_GB2312" w:cs="仿宋_GB2312" w:eastAsia="仿宋_GB2312"/>
                      <w:sz w:val="21"/>
                    </w:rPr>
                    <w:t>9</w:t>
                  </w:r>
                  <w:r>
                    <w:rPr>
                      <w:rFonts w:ascii="仿宋_GB2312" w:hAnsi="仿宋_GB2312" w:cs="仿宋_GB2312" w:eastAsia="仿宋_GB2312"/>
                      <w:sz w:val="21"/>
                    </w:rPr>
                    <w:t>、预装操作系统</w:t>
                  </w:r>
                  <w:r>
                    <w:rPr>
                      <w:rFonts w:ascii="仿宋_GB2312" w:hAnsi="仿宋_GB2312" w:cs="仿宋_GB2312" w:eastAsia="仿宋_GB2312"/>
                      <w:sz w:val="21"/>
                    </w:rPr>
                    <w:t>UOS或KOS</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0</w:t>
                  </w:r>
                  <w:r>
                    <w:rPr>
                      <w:rFonts w:ascii="仿宋_GB2312" w:hAnsi="仿宋_GB2312" w:cs="仿宋_GB2312" w:eastAsia="仿宋_GB2312"/>
                      <w:sz w:val="21"/>
                    </w:rPr>
                    <w:t>、机箱</w:t>
                  </w:r>
                  <w:r>
                    <w:rPr>
                      <w:rFonts w:ascii="仿宋_GB2312" w:hAnsi="仿宋_GB2312" w:cs="仿宋_GB2312" w:eastAsia="仿宋_GB2312"/>
                      <w:sz w:val="21"/>
                    </w:rPr>
                    <w:t>≤1</w:t>
                  </w:r>
                  <w:r>
                    <w:rPr>
                      <w:rFonts w:ascii="仿宋_GB2312" w:hAnsi="仿宋_GB2312" w:cs="仿宋_GB2312" w:eastAsia="仿宋_GB2312"/>
                      <w:sz w:val="21"/>
                    </w:rPr>
                    <w:t>2</w:t>
                  </w:r>
                  <w:r>
                    <w:rPr>
                      <w:rFonts w:ascii="仿宋_GB2312" w:hAnsi="仿宋_GB2312" w:cs="仿宋_GB2312" w:eastAsia="仿宋_GB2312"/>
                      <w:sz w:val="21"/>
                    </w:rPr>
                    <w:t>L</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1</w:t>
                  </w:r>
                  <w:r>
                    <w:rPr>
                      <w:rFonts w:ascii="仿宋_GB2312" w:hAnsi="仿宋_GB2312" w:cs="仿宋_GB2312" w:eastAsia="仿宋_GB2312"/>
                      <w:sz w:val="21"/>
                    </w:rPr>
                    <w:t>、显示屏</w:t>
                  </w:r>
                  <w:r>
                    <w:rPr>
                      <w:rFonts w:ascii="仿宋_GB2312" w:hAnsi="仿宋_GB2312" w:cs="仿宋_GB2312" w:eastAsia="仿宋_GB2312"/>
                      <w:sz w:val="21"/>
                    </w:rPr>
                    <w:t>≥23.8英寸，分辨率≥1920*1080，色域≥100%sRGB，刷新率≥100Hz，亮度≥250尼特，对比度≥1000:1</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2、</w:t>
                  </w:r>
                  <w:r>
                    <w:rPr>
                      <w:rFonts w:ascii="仿宋_GB2312" w:hAnsi="仿宋_GB2312" w:cs="仿宋_GB2312" w:eastAsia="仿宋_GB2312"/>
                      <w:sz w:val="21"/>
                    </w:rPr>
                    <w:t>支持</w:t>
                  </w:r>
                  <w:r>
                    <w:rPr>
                      <w:rFonts w:ascii="仿宋_GB2312" w:hAnsi="仿宋_GB2312" w:cs="仿宋_GB2312" w:eastAsia="仿宋_GB2312"/>
                      <w:sz w:val="21"/>
                    </w:rPr>
                    <w:t>USB 端口管控，至少支持将USB接口设置为存储设备只读、拒绝两种模式</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MTBF≥10</w:t>
                  </w:r>
                  <w:r>
                    <w:rPr>
                      <w:rFonts w:ascii="仿宋_GB2312" w:hAnsi="仿宋_GB2312" w:cs="仿宋_GB2312" w:eastAsia="仿宋_GB2312"/>
                      <w:sz w:val="21"/>
                    </w:rPr>
                    <w:t>0000</w:t>
                  </w:r>
                  <w:r>
                    <w:rPr>
                      <w:rFonts w:ascii="仿宋_GB2312" w:hAnsi="仿宋_GB2312" w:cs="仿宋_GB2312" w:eastAsia="仿宋_GB2312"/>
                      <w:sz w:val="21"/>
                    </w:rPr>
                    <w:t>小时</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4</w:t>
                  </w:r>
                  <w:r>
                    <w:rPr>
                      <w:rFonts w:ascii="仿宋_GB2312" w:hAnsi="仿宋_GB2312" w:cs="仿宋_GB2312" w:eastAsia="仿宋_GB2312"/>
                      <w:sz w:val="21"/>
                    </w:rPr>
                    <w:t>、电源</w:t>
                  </w:r>
                  <w:r>
                    <w:rPr>
                      <w:rFonts w:ascii="仿宋_GB2312" w:hAnsi="仿宋_GB2312" w:cs="仿宋_GB2312" w:eastAsia="仿宋_GB2312"/>
                      <w:sz w:val="21"/>
                    </w:rPr>
                    <w:t>≥180W</w:t>
                  </w:r>
                </w:p>
              </w:tc>
            </w:tr>
            <w:tr>
              <w:tc>
                <w:tcPr>
                  <w:tcW w:type="dxa" w:w="5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融合云桌面系统</w:t>
                  </w:r>
                </w:p>
              </w:tc>
              <w:tc>
                <w:tcPr>
                  <w:tcW w:type="dxa" w:w="20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1、云桌面系统可兼容现阶段主流国产化处理器，包括但不限于海光、兆芯、飞腾、麒麟、盘古等。</w:t>
                  </w:r>
                </w:p>
                <w:p>
                  <w:pPr>
                    <w:pStyle w:val="null3"/>
                    <w:jc w:val="both"/>
                  </w:pPr>
                  <w:r>
                    <w:rPr>
                      <w:rFonts w:ascii="仿宋_GB2312" w:hAnsi="仿宋_GB2312" w:cs="仿宋_GB2312" w:eastAsia="仿宋_GB2312"/>
                      <w:sz w:val="21"/>
                    </w:rPr>
                    <w:t>2、可实现包含但不限于主流国产化操作系统的切换，支持用户自行选择操作系统使用或默认进入某一操作系统。</w:t>
                  </w:r>
                </w:p>
                <w:p>
                  <w:pPr>
                    <w:pStyle w:val="null3"/>
                    <w:jc w:val="both"/>
                  </w:pPr>
                  <w:r>
                    <w:rPr>
                      <w:rFonts w:ascii="仿宋_GB2312" w:hAnsi="仿宋_GB2312" w:cs="仿宋_GB2312" w:eastAsia="仿宋_GB2312"/>
                      <w:sz w:val="21"/>
                    </w:rPr>
                    <w:t>3、可在国产化CPU的PC中运行office、Auto CAD、MySQL、Oracle、Python、3Dmax等软件，不</w:t>
                  </w:r>
                  <w:r>
                    <w:rPr>
                      <w:rFonts w:ascii="仿宋_GB2312" w:hAnsi="仿宋_GB2312" w:cs="仿宋_GB2312" w:eastAsia="仿宋_GB2312"/>
                      <w:sz w:val="21"/>
                    </w:rPr>
                    <w:t>得使用</w:t>
                  </w:r>
                  <w:r>
                    <w:rPr>
                      <w:rFonts w:ascii="仿宋_GB2312" w:hAnsi="仿宋_GB2312" w:cs="仿宋_GB2312" w:eastAsia="仿宋_GB2312"/>
                      <w:sz w:val="21"/>
                    </w:rPr>
                    <w:t>第</w:t>
                  </w:r>
                  <w:r>
                    <w:rPr>
                      <w:rFonts w:ascii="仿宋_GB2312" w:hAnsi="仿宋_GB2312" w:cs="仿宋_GB2312" w:eastAsia="仿宋_GB2312"/>
                      <w:sz w:val="21"/>
                    </w:rPr>
                    <w:t>三方软</w:t>
                  </w:r>
                  <w:r>
                    <w:rPr>
                      <w:rFonts w:ascii="仿宋_GB2312" w:hAnsi="仿宋_GB2312" w:cs="仿宋_GB2312" w:eastAsia="仿宋_GB2312"/>
                      <w:sz w:val="21"/>
                    </w:rPr>
                    <w:t>件介入实现。</w:t>
                  </w:r>
                </w:p>
                <w:p>
                  <w:pPr>
                    <w:pStyle w:val="null3"/>
                    <w:jc w:val="both"/>
                  </w:pPr>
                  <w:r>
                    <w:rPr>
                      <w:rFonts w:ascii="仿宋_GB2312" w:hAnsi="仿宋_GB2312" w:cs="仿宋_GB2312" w:eastAsia="仿宋_GB2312"/>
                      <w:sz w:val="21"/>
                    </w:rPr>
                    <w:t>4、支持操作系统的自动还原，每次开机系统都会重新恢复至模板状态。</w:t>
                  </w:r>
                </w:p>
                <w:p>
                  <w:pPr>
                    <w:pStyle w:val="null3"/>
                    <w:jc w:val="both"/>
                  </w:pPr>
                  <w:r>
                    <w:rPr>
                      <w:rFonts w:ascii="仿宋_GB2312" w:hAnsi="仿宋_GB2312" w:cs="仿宋_GB2312" w:eastAsia="仿宋_GB2312"/>
                      <w:sz w:val="21"/>
                    </w:rPr>
                    <w:t>5、支持系统隐藏功能。</w:t>
                  </w:r>
                </w:p>
                <w:p>
                  <w:pPr>
                    <w:pStyle w:val="null3"/>
                    <w:jc w:val="both"/>
                  </w:pPr>
                  <w:r>
                    <w:rPr>
                      <w:rFonts w:ascii="仿宋_GB2312" w:hAnsi="仿宋_GB2312" w:cs="仿宋_GB2312" w:eastAsia="仿宋_GB2312"/>
                      <w:sz w:val="21"/>
                    </w:rPr>
                    <w:t>★6、</w:t>
                  </w:r>
                  <w:r>
                    <w:rPr>
                      <w:rFonts w:ascii="仿宋_GB2312" w:hAnsi="仿宋_GB2312" w:cs="仿宋_GB2312" w:eastAsia="仿宋_GB2312"/>
                      <w:sz w:val="21"/>
                    </w:rPr>
                    <w:t>具有</w:t>
                  </w:r>
                  <w:r>
                    <w:rPr>
                      <w:rFonts w:ascii="仿宋_GB2312" w:hAnsi="仿宋_GB2312" w:cs="仿宋_GB2312" w:eastAsia="仿宋_GB2312"/>
                      <w:sz w:val="21"/>
                    </w:rPr>
                    <w:t>广告弹窗拦截功能，开启后系统自动拦截用户设备桌面弹窗广告。</w:t>
                  </w:r>
                  <w:r>
                    <w:rPr>
                      <w:rFonts w:ascii="仿宋_GB2312" w:hAnsi="仿宋_GB2312" w:cs="仿宋_GB2312" w:eastAsia="仿宋_GB2312"/>
                      <w:sz w:val="21"/>
                    </w:rPr>
                    <w:t>(提供功能截图)</w:t>
                  </w:r>
                </w:p>
                <w:p>
                  <w:pPr>
                    <w:pStyle w:val="null3"/>
                    <w:jc w:val="both"/>
                  </w:pPr>
                  <w:r>
                    <w:rPr>
                      <w:rFonts w:ascii="仿宋_GB2312" w:hAnsi="仿宋_GB2312" w:cs="仿宋_GB2312" w:eastAsia="仿宋_GB2312"/>
                      <w:sz w:val="21"/>
                    </w:rPr>
                    <w:t>7</w:t>
                  </w:r>
                  <w:r>
                    <w:rPr>
                      <w:rFonts w:ascii="仿宋_GB2312" w:hAnsi="仿宋_GB2312" w:cs="仿宋_GB2312" w:eastAsia="仿宋_GB2312"/>
                      <w:sz w:val="21"/>
                    </w:rPr>
                    <w:t>、</w:t>
                  </w:r>
                  <w:r>
                    <w:rPr>
                      <w:rFonts w:ascii="仿宋_GB2312" w:hAnsi="仿宋_GB2312" w:cs="仿宋_GB2312" w:eastAsia="仿宋_GB2312"/>
                      <w:sz w:val="21"/>
                    </w:rPr>
                    <w:t>具有</w:t>
                  </w:r>
                  <w:r>
                    <w:rPr>
                      <w:rFonts w:ascii="仿宋_GB2312" w:hAnsi="仿宋_GB2312" w:cs="仿宋_GB2312" w:eastAsia="仿宋_GB2312"/>
                      <w:sz w:val="21"/>
                    </w:rPr>
                    <w:t>环境监测功能，针对用户正在使用的桌面系统环境进行巡检，监测内容以列表形式呈现内容包含但不限于电脑名称、系统版本、</w:t>
                  </w:r>
                  <w:r>
                    <w:rPr>
                      <w:rFonts w:ascii="仿宋_GB2312" w:hAnsi="仿宋_GB2312" w:cs="仿宋_GB2312" w:eastAsia="仿宋_GB2312"/>
                      <w:sz w:val="21"/>
                    </w:rPr>
                    <w:t>IP、内存、硬盘等状态。如出现网络连接中断、USB未连接、未知盘符，均会进行告警。</w:t>
                  </w:r>
                </w:p>
                <w:p>
                  <w:pPr>
                    <w:pStyle w:val="null3"/>
                    <w:jc w:val="both"/>
                  </w:pPr>
                  <w:r>
                    <w:rPr>
                      <w:rFonts w:ascii="仿宋_GB2312" w:hAnsi="仿宋_GB2312" w:cs="仿宋_GB2312" w:eastAsia="仿宋_GB2312"/>
                      <w:sz w:val="21"/>
                    </w:rPr>
                    <w:t>▲8、云桌面软件支持流量监控功能，可检测设备机目前进程的流量接收与发送的情况。(提供功能截图)</w:t>
                  </w:r>
                </w:p>
                <w:p>
                  <w:pPr>
                    <w:pStyle w:val="null3"/>
                    <w:jc w:val="both"/>
                  </w:pPr>
                  <w:r>
                    <w:rPr>
                      <w:rFonts w:ascii="仿宋_GB2312" w:hAnsi="仿宋_GB2312" w:cs="仿宋_GB2312" w:eastAsia="仿宋_GB2312"/>
                      <w:sz w:val="21"/>
                    </w:rPr>
                    <w:t>▲9、支持垃圾清理功能，对于垃圾文件扫描后进行自动清理。</w:t>
                  </w:r>
                  <w:r>
                    <w:rPr>
                      <w:rFonts w:ascii="仿宋_GB2312" w:hAnsi="仿宋_GB2312" w:cs="仿宋_GB2312" w:eastAsia="仿宋_GB2312"/>
                      <w:sz w:val="21"/>
                    </w:rPr>
                    <w:t>(</w:t>
                  </w:r>
                  <w:r>
                    <w:rPr>
                      <w:rFonts w:ascii="仿宋_GB2312" w:hAnsi="仿宋_GB2312" w:cs="仿宋_GB2312" w:eastAsia="仿宋_GB2312"/>
                      <w:sz w:val="21"/>
                    </w:rPr>
                    <w:t>提供功能截图</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▲10、支持网络检测功能，可针对设备现阶段网络情况进行检测，协助管理员进行网络排障。</w:t>
                  </w:r>
                  <w:r>
                    <w:rPr>
                      <w:rFonts w:ascii="仿宋_GB2312" w:hAnsi="仿宋_GB2312" w:cs="仿宋_GB2312" w:eastAsia="仿宋_GB2312"/>
                      <w:sz w:val="21"/>
                    </w:rPr>
                    <w:t>(</w:t>
                  </w:r>
                  <w:r>
                    <w:rPr>
                      <w:rFonts w:ascii="仿宋_GB2312" w:hAnsi="仿宋_GB2312" w:cs="仿宋_GB2312" w:eastAsia="仿宋_GB2312"/>
                      <w:sz w:val="21"/>
                    </w:rPr>
                    <w:t>提供功能截图</w:t>
                  </w:r>
                  <w:r>
                    <w:rPr>
                      <w:rFonts w:ascii="仿宋_GB2312" w:hAnsi="仿宋_GB2312" w:cs="仿宋_GB2312" w:eastAsia="仿宋_GB2312"/>
                      <w:sz w:val="21"/>
                    </w:rPr>
                    <w:t>)</w:t>
                  </w:r>
                </w:p>
              </w:tc>
            </w:tr>
            <w:tr>
              <w:tc>
                <w:tcPr>
                  <w:tcW w:type="dxa" w:w="5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无线网卡</w:t>
                  </w:r>
                </w:p>
              </w:tc>
              <w:tc>
                <w:tcPr>
                  <w:tcW w:type="dxa" w:w="20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无线速率</w:t>
                  </w:r>
                  <w:r>
                    <w:rPr>
                      <w:rFonts w:ascii="仿宋_GB2312" w:hAnsi="仿宋_GB2312" w:cs="仿宋_GB2312" w:eastAsia="仿宋_GB2312"/>
                      <w:sz w:val="21"/>
                    </w:rPr>
                    <w:t>≥2</w:t>
                  </w:r>
                  <w:r>
                    <w:rPr>
                      <w:rFonts w:ascii="仿宋_GB2312" w:hAnsi="仿宋_GB2312" w:cs="仿宋_GB2312" w:eastAsia="仿宋_GB2312"/>
                      <w:sz w:val="21"/>
                    </w:rPr>
                    <w:t>86M</w:t>
                  </w:r>
                  <w:r>
                    <w:rPr>
                      <w:rFonts w:ascii="仿宋_GB2312" w:hAnsi="仿宋_GB2312" w:cs="仿宋_GB2312" w:eastAsia="仿宋_GB2312"/>
                      <w:sz w:val="21"/>
                    </w:rPr>
                    <w:t>bps，</w:t>
                  </w:r>
                  <w:r>
                    <w:rPr>
                      <w:rFonts w:ascii="仿宋_GB2312" w:hAnsi="仿宋_GB2312" w:cs="仿宋_GB2312" w:eastAsia="仿宋_GB2312"/>
                      <w:sz w:val="21"/>
                    </w:rPr>
                    <w:t>支持</w:t>
                  </w:r>
                  <w:r>
                    <w:rPr>
                      <w:rFonts w:ascii="仿宋_GB2312" w:hAnsi="仿宋_GB2312" w:cs="仿宋_GB2312" w:eastAsia="仿宋_GB2312"/>
                      <w:sz w:val="21"/>
                    </w:rPr>
                    <w:t>2</w:t>
                  </w:r>
                  <w:r>
                    <w:rPr>
                      <w:rFonts w:ascii="仿宋_GB2312" w:hAnsi="仿宋_GB2312" w:cs="仿宋_GB2312" w:eastAsia="仿宋_GB2312"/>
                      <w:sz w:val="21"/>
                    </w:rPr>
                    <w:t>.4GH</w:t>
                  </w:r>
                  <w:r>
                    <w:rPr>
                      <w:rFonts w:ascii="仿宋_GB2312" w:hAnsi="仿宋_GB2312" w:cs="仿宋_GB2312" w:eastAsia="仿宋_GB2312"/>
                      <w:sz w:val="21"/>
                    </w:rPr>
                    <w:t>z</w:t>
                  </w:r>
                  <w:r>
                    <w:rPr>
                      <w:rFonts w:ascii="仿宋_GB2312" w:hAnsi="仿宋_GB2312" w:cs="仿宋_GB2312" w:eastAsia="仿宋_GB2312"/>
                      <w:sz w:val="21"/>
                    </w:rPr>
                    <w:t>及以上</w:t>
                  </w:r>
                  <w:r>
                    <w:rPr>
                      <w:rFonts w:ascii="仿宋_GB2312" w:hAnsi="仿宋_GB2312" w:cs="仿宋_GB2312" w:eastAsia="仿宋_GB2312"/>
                      <w:sz w:val="21"/>
                    </w:rPr>
                    <w:t>，支持国产操作系统驱动程序</w:t>
                  </w:r>
                </w:p>
              </w:tc>
            </w:tr>
          </w:tbl>
          <w:p>
            <w:pPr>
              <w:pStyle w:val="null3"/>
              <w:jc w:val="both"/>
            </w:pPr>
            <w:r>
              <w:rPr>
                <w:rFonts w:ascii="仿宋_GB2312" w:hAnsi="仿宋_GB2312" w:cs="仿宋_GB2312" w:eastAsia="仿宋_GB2312"/>
                <w:sz w:val="21"/>
              </w:rPr>
              <w:t>备注：</w:t>
            </w:r>
            <w:r>
              <w:rPr>
                <w:rFonts w:ascii="仿宋_GB2312" w:hAnsi="仿宋_GB2312" w:cs="仿宋_GB2312" w:eastAsia="仿宋_GB2312"/>
                <w:sz w:val="21"/>
              </w:rPr>
              <w:t>“★”代表实质性指标，不允许负偏离，不满足该指标将导致投标被拒绝。（★、▲及一般参数正偏离需提供相关证明材料）</w:t>
            </w:r>
          </w:p>
          <w:p>
            <w:pPr>
              <w:pStyle w:val="null3"/>
            </w:pPr>
            <w:r>
              <w:rPr>
                <w:rFonts w:ascii="仿宋_GB2312" w:hAnsi="仿宋_GB2312" w:cs="仿宋_GB2312" w:eastAsia="仿宋_GB2312"/>
              </w:rPr>
              <w:t xml:space="preserve"> </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1"/>
              </w:rPr>
              <w:t>商务要求</w:t>
            </w:r>
          </w:p>
          <w:p>
            <w:pPr>
              <w:pStyle w:val="null3"/>
              <w:ind w:firstLine="480"/>
              <w:jc w:val="both"/>
            </w:pPr>
            <w:r>
              <w:rPr>
                <w:rFonts w:ascii="仿宋_GB2312" w:hAnsi="仿宋_GB2312" w:cs="仿宋_GB2312" w:eastAsia="仿宋_GB2312"/>
                <w:sz w:val="21"/>
              </w:rPr>
              <w:t>1、交货期</w:t>
            </w:r>
            <w:r>
              <w:rPr>
                <w:rFonts w:ascii="仿宋_GB2312" w:hAnsi="仿宋_GB2312" w:cs="仿宋_GB2312" w:eastAsia="仿宋_GB2312"/>
                <w:sz w:val="21"/>
              </w:rPr>
              <w:t>：自合同签订之日起</w:t>
            </w:r>
            <w:r>
              <w:rPr>
                <w:rFonts w:ascii="仿宋_GB2312" w:hAnsi="仿宋_GB2312" w:cs="仿宋_GB2312" w:eastAsia="仿宋_GB2312"/>
                <w:sz w:val="21"/>
              </w:rPr>
              <w:t>20日</w:t>
            </w:r>
            <w:r>
              <w:rPr>
                <w:rFonts w:ascii="仿宋_GB2312" w:hAnsi="仿宋_GB2312" w:cs="仿宋_GB2312" w:eastAsia="仿宋_GB2312"/>
                <w:sz w:val="21"/>
              </w:rPr>
              <w:t>。</w:t>
            </w:r>
          </w:p>
          <w:p>
            <w:pPr>
              <w:pStyle w:val="null3"/>
              <w:ind w:firstLine="480"/>
              <w:jc w:val="both"/>
            </w:pPr>
            <w:r>
              <w:rPr>
                <w:rFonts w:ascii="仿宋_GB2312" w:hAnsi="仿宋_GB2312" w:cs="仿宋_GB2312" w:eastAsia="仿宋_GB2312"/>
                <w:sz w:val="21"/>
              </w:rPr>
              <w:t>2、</w:t>
            </w:r>
            <w:r>
              <w:rPr>
                <w:rFonts w:ascii="仿宋_GB2312" w:hAnsi="仿宋_GB2312" w:cs="仿宋_GB2312" w:eastAsia="仿宋_GB2312"/>
                <w:sz w:val="21"/>
              </w:rPr>
              <w:t>服务质量：合格</w:t>
            </w:r>
          </w:p>
          <w:p>
            <w:pPr>
              <w:pStyle w:val="null3"/>
              <w:ind w:firstLine="480"/>
              <w:jc w:val="both"/>
            </w:pPr>
            <w:r>
              <w:rPr>
                <w:rFonts w:ascii="仿宋_GB2312" w:hAnsi="仿宋_GB2312" w:cs="仿宋_GB2312" w:eastAsia="仿宋_GB2312"/>
                <w:sz w:val="21"/>
              </w:rPr>
              <w:t>3、</w:t>
            </w:r>
            <w:r>
              <w:rPr>
                <w:rFonts w:ascii="仿宋_GB2312" w:hAnsi="仿宋_GB2312" w:cs="仿宋_GB2312" w:eastAsia="仿宋_GB2312"/>
                <w:sz w:val="21"/>
              </w:rPr>
              <w:t>付款方式：合同签订后，达到付款条件起</w:t>
            </w:r>
            <w:r>
              <w:rPr>
                <w:rFonts w:ascii="仿宋_GB2312" w:hAnsi="仿宋_GB2312" w:cs="仿宋_GB2312" w:eastAsia="仿宋_GB2312"/>
                <w:sz w:val="21"/>
              </w:rPr>
              <w:t>30日内，支付合同总金额的40.00%</w:t>
            </w:r>
            <w:r>
              <w:rPr>
                <w:rFonts w:ascii="仿宋_GB2312" w:hAnsi="仿宋_GB2312" w:cs="仿宋_GB2312" w:eastAsia="仿宋_GB2312"/>
                <w:sz w:val="21"/>
              </w:rPr>
              <w:t>；完成项目供货、安装调试完毕，达到付款条件起</w:t>
            </w:r>
            <w:r>
              <w:rPr>
                <w:rFonts w:ascii="仿宋_GB2312" w:hAnsi="仿宋_GB2312" w:cs="仿宋_GB2312" w:eastAsia="仿宋_GB2312"/>
                <w:sz w:val="21"/>
              </w:rPr>
              <w:t>30日内，支付合同总金额的50.00%；验收合格后，达到付款条件起30日内，支付合同总金额的10.00%。</w:t>
            </w:r>
          </w:p>
          <w:p>
            <w:pPr>
              <w:pStyle w:val="null3"/>
              <w:ind w:firstLine="480"/>
              <w:jc w:val="both"/>
            </w:pPr>
            <w:r>
              <w:rPr>
                <w:rFonts w:ascii="仿宋_GB2312" w:hAnsi="仿宋_GB2312" w:cs="仿宋_GB2312" w:eastAsia="仿宋_GB2312"/>
                <w:sz w:val="21"/>
              </w:rPr>
              <w:t>4、</w:t>
            </w:r>
            <w:r>
              <w:rPr>
                <w:rFonts w:ascii="仿宋_GB2312" w:hAnsi="仿宋_GB2312" w:cs="仿宋_GB2312" w:eastAsia="仿宋_GB2312"/>
                <w:sz w:val="21"/>
              </w:rPr>
              <w:t>服务范围：完成本次采购项目所有内容。</w:t>
            </w:r>
          </w:p>
          <w:p>
            <w:pPr>
              <w:pStyle w:val="null3"/>
              <w:ind w:firstLine="480"/>
              <w:jc w:val="both"/>
            </w:pPr>
            <w:r>
              <w:rPr>
                <w:rFonts w:ascii="仿宋_GB2312" w:hAnsi="仿宋_GB2312" w:cs="仿宋_GB2312" w:eastAsia="仿宋_GB2312"/>
                <w:sz w:val="21"/>
              </w:rPr>
              <w:t>5、</w:t>
            </w:r>
            <w:r>
              <w:rPr>
                <w:rFonts w:ascii="仿宋_GB2312" w:hAnsi="仿宋_GB2312" w:cs="仿宋_GB2312" w:eastAsia="仿宋_GB2312"/>
                <w:sz w:val="21"/>
              </w:rPr>
              <w:t>服务要求：满足本次采购项目所有内容。</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自合同签订之日起20日。</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完成项目供货、安装调试完毕</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合格</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合同执行过程中如发生争议，双方应及时协商解决，协商不成，双方均可向项目所在地人民法院起诉。</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各供应商所有分项报价（与最后磋商报价比例一致）同比例下浮。</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 供应商资格证明文件.docx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2023或2024年的财务审计报告（成立时间至提交响应文件截止时间不足一年的可提供成立后任意时段的资产负债表）或其基本存款账户开户银行出具的资信证明及基本存款账户开户许可证（基本账户存款信息）。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 供应商资格证明文件.docx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有效的资格证明主体</w:t>
            </w:r>
          </w:p>
        </w:tc>
        <w:tc>
          <w:tcPr>
            <w:tcW w:type="dxa" w:w="3322"/>
          </w:tcPr>
          <w:p>
            <w:pPr>
              <w:pStyle w:val="null3"/>
            </w:pPr>
            <w:r>
              <w:rPr>
                <w:rFonts w:ascii="仿宋_GB2312" w:hAnsi="仿宋_GB2312" w:cs="仿宋_GB2312" w:eastAsia="仿宋_GB2312"/>
              </w:rPr>
              <w:t>具有独立承担民事责任能力的法人、其他组织或自然人，并出具合法有效的相关证明材料。供应商需在项目电子化交易系统中按要求上传相应证明文件并进行电子签章；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供应商资格证明文件.docx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或2024年的财务审计报告（成立时间至提交响应文件截止时间不足一年的可提供成立后任意时段的资产负债表）或其基本存款账户开户银行出具的资信证明及基本存款账户开户许可证（基本账户存款信息）。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供应商资格证明文件.docx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提供2024年1月至今已缴纳的1个月的纳税证明或完税证明，依法免税的单位应提供相关证明材料。供应商需在项目电子化交易系统中按要求上传相应证明文件并进行电子签章；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供应商资格证明文件.docx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1月至今已缴纳的1个月的社会保障资金缴存单据或社保机构开具的社会保险参保缴费情况证明，依法不需要缴纳社会保障资金的单位应提供相关证明材料。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供应商资格证明文件.docx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履行合同所必需的设备和专业技术能力</w:t>
            </w:r>
          </w:p>
        </w:tc>
        <w:tc>
          <w:tcPr>
            <w:tcW w:type="dxa" w:w="3322"/>
          </w:tcPr>
          <w:p>
            <w:pPr>
              <w:pStyle w:val="null3"/>
            </w:pPr>
            <w:r>
              <w:rPr>
                <w:rFonts w:ascii="仿宋_GB2312" w:hAnsi="仿宋_GB2312" w:cs="仿宋_GB2312" w:eastAsia="仿宋_GB2312"/>
              </w:rPr>
              <w:t>提供具有履行合同所必需的设备和专业技术能力的承诺。供应商需在项目电子化交易系统中按要求上传相应证明文件并进行电子签章；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供应商资格证明文件.docx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前三年无重大违法记录声明</w:t>
            </w:r>
          </w:p>
        </w:tc>
        <w:tc>
          <w:tcPr>
            <w:tcW w:type="dxa" w:w="3322"/>
          </w:tcPr>
          <w:p>
            <w:pPr>
              <w:pStyle w:val="null3"/>
            </w:pPr>
            <w:r>
              <w:rPr>
                <w:rFonts w:ascii="仿宋_GB2312" w:hAnsi="仿宋_GB2312" w:cs="仿宋_GB2312" w:eastAsia="仿宋_GB2312"/>
              </w:rPr>
              <w:t>参加政府采购活动前三年内，在经营活动中没有重大违法记录的书面声明（成立时间至提交响应文件截止时间不足三年的可提供成立至今的书面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供应商资格证明文件.docx 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授权书及被授权人身份证</w:t>
            </w:r>
          </w:p>
        </w:tc>
        <w:tc>
          <w:tcPr>
            <w:tcW w:type="dxa" w:w="3322"/>
          </w:tcPr>
          <w:p>
            <w:pPr>
              <w:pStyle w:val="null3"/>
            </w:pPr>
            <w:r>
              <w:rPr>
                <w:rFonts w:ascii="仿宋_GB2312" w:hAnsi="仿宋_GB2312" w:cs="仿宋_GB2312" w:eastAsia="仿宋_GB2312"/>
              </w:rPr>
              <w:t>法定代表人（单位负责人）授权委托书（附法定代表人（单位负责人）、被授权人身份证复印件及被授权人近三个月在本单位社保缴纳的证明资料）（法定代表人（单位负责人）直接参加的，须提供法定代表人（单位负责人）身份证明书及身份证复印件且与营业执照上信息须一致），非法人单位参照执行。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供应商资格证明文件.docx 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不得为“信用中国(www.creditchina.gov.cn)”中列入失信被执行人和重大税收违法案件当事人名单的供应商，不得为“中国政府采购网(www.ccgp.gov.cn)”政府采购严重违法失信行为记录名单中被财政部门禁止参加政府采购活动的供应商（采购代理机构查询，节点为响应文件递交截止之时）；</w:t>
            </w:r>
          </w:p>
        </w:tc>
        <w:tc>
          <w:tcPr>
            <w:tcW w:type="dxa" w:w="1661"/>
          </w:tcPr>
          <w:p>
            <w:pPr>
              <w:pStyle w:val="null3"/>
            </w:pPr>
            <w:r>
              <w:rPr>
                <w:rFonts w:ascii="仿宋_GB2312" w:hAnsi="仿宋_GB2312" w:cs="仿宋_GB2312" w:eastAsia="仿宋_GB2312"/>
              </w:rPr>
              <w:t>供应商应提交的相关资格证明材料 供应商资格证明文件.docx 响应函</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其他要求</w:t>
            </w:r>
          </w:p>
        </w:tc>
        <w:tc>
          <w:tcPr>
            <w:tcW w:type="dxa" w:w="3322"/>
          </w:tcPr>
          <w:p>
            <w:pPr>
              <w:pStyle w:val="null3"/>
            </w:pPr>
            <w:r>
              <w:rPr>
                <w:rFonts w:ascii="仿宋_GB2312" w:hAnsi="仿宋_GB2312" w:cs="仿宋_GB2312" w:eastAsia="仿宋_GB2312"/>
              </w:rPr>
              <w:t>①单位负责人为同一人或者存在直接控股、管理关系的不同供应商不得参加同一合同项下的政府采购活动。②为本项目提供整体设计、规范编制或者项目管理、监理、检测等服务的供应商，不得再参加该采购项目的其他采购活动；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供应商资格证明文件.docx 响应函</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是否接受联合体投标</w:t>
            </w:r>
          </w:p>
        </w:tc>
        <w:tc>
          <w:tcPr>
            <w:tcW w:type="dxa" w:w="3322"/>
          </w:tcPr>
          <w:p>
            <w:pPr>
              <w:pStyle w:val="null3"/>
            </w:pPr>
            <w:r>
              <w:rPr>
                <w:rFonts w:ascii="仿宋_GB2312" w:hAnsi="仿宋_GB2312" w:cs="仿宋_GB2312" w:eastAsia="仿宋_GB2312"/>
              </w:rPr>
              <w:t>本项目不接受联合体投标，供应商需在项目电子化交易系统中按要求上传相应证明文件并进行电子签章。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供应商资格证明文件.docx 响应函</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 xml:space="preserve"> 二、评审工作由代理机构组织，具体评审事务由依法组建的磋商小组负责。</w:t>
      </w:r>
    </w:p>
    <w:p>
      <w:pPr>
        <w:pStyle w:val="null3"/>
        <w:ind w:firstLine="480"/>
      </w:pPr>
      <w:r>
        <w:rPr>
          <w:rFonts w:ascii="仿宋_GB2312" w:hAnsi="仿宋_GB2312" w:cs="仿宋_GB2312" w:eastAsia="仿宋_GB2312"/>
        </w:rPr>
        <w:t xml:space="preserve"> 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 xml:space="preserve"> 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（三）根据需要要求供应商对响应文件中含义不明确、同类问题表述不一致或者有明显文字和计算错误的内容等作出必要的澄清、说明或者更正；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（六）向采购人、代理机构、财政部门或者其他监督部门报告非法干预评审工作的行为；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6.3.1审查磋商文件和停止评审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 xml:space="preserve"> （二）磋商文件明显以不合理条件对供应商实行差别待遇或者歧视待遇的；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供应商类似项目业绩一览表.docx 中小企业声明函 商务应答表 供应商应提交的相关资格证明材料 报价表 响应文件封面 产品技术参数表 供应商认为有必要补充说明的事项.docx 残疾人福利性单位声明函 标的清单 供应商资格证明文件.docx 响应函 服务方案.docx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与项目的一致性</w:t>
            </w:r>
          </w:p>
        </w:tc>
        <w:tc>
          <w:tcPr>
            <w:tcW w:type="dxa" w:w="3322"/>
          </w:tcPr>
          <w:p>
            <w:pPr>
              <w:pStyle w:val="null3"/>
            </w:pPr>
            <w:r>
              <w:rPr>
                <w:rFonts w:ascii="仿宋_GB2312" w:hAnsi="仿宋_GB2312" w:cs="仿宋_GB2312" w:eastAsia="仿宋_GB2312"/>
              </w:rPr>
              <w:t>至少以下三处的项目名称、项目编号、标段与本项目完全一致： （1）竞争性磋商响应文件封面 （2）响应函 （3）法定代表人（主要负责人）委托授权书\身份证明</w:t>
            </w:r>
          </w:p>
        </w:tc>
        <w:tc>
          <w:tcPr>
            <w:tcW w:type="dxa" w:w="1661"/>
          </w:tcPr>
          <w:p>
            <w:pPr>
              <w:pStyle w:val="null3"/>
            </w:pPr>
            <w:r>
              <w:rPr>
                <w:rFonts w:ascii="仿宋_GB2312" w:hAnsi="仿宋_GB2312" w:cs="仿宋_GB2312" w:eastAsia="仿宋_GB2312"/>
              </w:rPr>
              <w:t>供应商类似项目业绩一览表.docx 中小企业声明函 商务应答表 供应商应提交的相关资格证明材料 响应文件封面 产品技术参数表 供应商认为有必要补充说明的事项.docx 残疾人福利性单位声明函 标的清单 供应商资格证明文件.docx 响应函 服务方案.docx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竞争性磋商响应文件组成</w:t>
            </w:r>
          </w:p>
        </w:tc>
        <w:tc>
          <w:tcPr>
            <w:tcW w:type="dxa" w:w="3322"/>
          </w:tcPr>
          <w:p>
            <w:pPr>
              <w:pStyle w:val="null3"/>
            </w:pPr>
            <w:r>
              <w:rPr>
                <w:rFonts w:ascii="仿宋_GB2312" w:hAnsi="仿宋_GB2312" w:cs="仿宋_GB2312" w:eastAsia="仿宋_GB2312"/>
              </w:rPr>
              <w:t>竞争性磋商响应文件应包含竞争性磋商文件要求的所有内容</w:t>
            </w:r>
          </w:p>
        </w:tc>
        <w:tc>
          <w:tcPr>
            <w:tcW w:type="dxa" w:w="1661"/>
          </w:tcPr>
          <w:p>
            <w:pPr>
              <w:pStyle w:val="null3"/>
            </w:pPr>
            <w:r>
              <w:rPr>
                <w:rFonts w:ascii="仿宋_GB2312" w:hAnsi="仿宋_GB2312" w:cs="仿宋_GB2312" w:eastAsia="仿宋_GB2312"/>
              </w:rPr>
              <w:t>供应商类似项目业绩一览表.docx 中小企业声明函 商务应答表 供应商应提交的相关资格证明材料 响应文件封面 产品技术参数表 供应商认为有必要补充说明的事项.docx 残疾人福利性单位声明函 标的清单 供应商资格证明文件.docx 响应函 服务方案.docx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签章或盖章</w:t>
            </w:r>
          </w:p>
        </w:tc>
        <w:tc>
          <w:tcPr>
            <w:tcW w:type="dxa" w:w="3322"/>
          </w:tcPr>
          <w:p>
            <w:pPr>
              <w:pStyle w:val="null3"/>
            </w:pPr>
            <w:r>
              <w:rPr>
                <w:rFonts w:ascii="仿宋_GB2312" w:hAnsi="仿宋_GB2312" w:cs="仿宋_GB2312" w:eastAsia="仿宋_GB2312"/>
              </w:rPr>
              <w:t>签章或盖章符合竞争性磋商文件要求，且无遗漏</w:t>
            </w:r>
          </w:p>
        </w:tc>
        <w:tc>
          <w:tcPr>
            <w:tcW w:type="dxa" w:w="1661"/>
          </w:tcPr>
          <w:p>
            <w:pPr>
              <w:pStyle w:val="null3"/>
            </w:pPr>
            <w:r>
              <w:rPr>
                <w:rFonts w:ascii="仿宋_GB2312" w:hAnsi="仿宋_GB2312" w:cs="仿宋_GB2312" w:eastAsia="仿宋_GB2312"/>
              </w:rPr>
              <w:t>供应商类似项目业绩一览表.docx 中小企业声明函 商务应答表 供应商应提交的相关资格证明材料 响应文件封面 产品技术参数表 供应商认为有必要补充说明的事项.docx 残疾人福利性单位声明函 标的清单 供应商资格证明文件.docx 响应函 服务方案.docx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语言和计量单位</w:t>
            </w:r>
          </w:p>
        </w:tc>
        <w:tc>
          <w:tcPr>
            <w:tcW w:type="dxa" w:w="3322"/>
          </w:tcPr>
          <w:p>
            <w:pPr>
              <w:pStyle w:val="null3"/>
            </w:pPr>
            <w:r>
              <w:rPr>
                <w:rFonts w:ascii="仿宋_GB2312" w:hAnsi="仿宋_GB2312" w:cs="仿宋_GB2312" w:eastAsia="仿宋_GB2312"/>
              </w:rPr>
              <w:t>符合竞争性磋商文件的要求</w:t>
            </w:r>
          </w:p>
        </w:tc>
        <w:tc>
          <w:tcPr>
            <w:tcW w:type="dxa" w:w="1661"/>
          </w:tcPr>
          <w:p>
            <w:pPr>
              <w:pStyle w:val="null3"/>
            </w:pPr>
            <w:r>
              <w:rPr>
                <w:rFonts w:ascii="仿宋_GB2312" w:hAnsi="仿宋_GB2312" w:cs="仿宋_GB2312" w:eastAsia="仿宋_GB2312"/>
              </w:rPr>
              <w:t>供应商类似项目业绩一览表.docx 中小企业声明函 商务应答表 供应商应提交的相关资格证明材料 响应文件封面 产品技术参数表 供应商认为有必要补充说明的事项.docx 残疾人福利性单位声明函 标的清单 供应商资格证明文件.docx 响应函 服务方案.docx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符合竞争性磋商文件的要求</w:t>
            </w:r>
          </w:p>
        </w:tc>
        <w:tc>
          <w:tcPr>
            <w:tcW w:type="dxa" w:w="1661"/>
          </w:tcPr>
          <w:p>
            <w:pPr>
              <w:pStyle w:val="null3"/>
            </w:pPr>
            <w:r>
              <w:rPr>
                <w:rFonts w:ascii="仿宋_GB2312" w:hAnsi="仿宋_GB2312" w:cs="仿宋_GB2312" w:eastAsia="仿宋_GB2312"/>
              </w:rPr>
              <w:t>供应商类似项目业绩一览表.docx 中小企业声明函 商务应答表 供应商应提交的相关资格证明材料 响应文件封面 产品技术参数表 供应商认为有必要补充说明的事项.docx 残疾人福利性单位声明函 标的清单 供应商资格证明文件.docx 响应函 服务方案.docx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同时满足以下条款： （1）货币单位符合竞争性磋商文件要求 （2）报价符合唯一性要求 （3）未超出采购预算或最高限价</w:t>
            </w:r>
          </w:p>
        </w:tc>
        <w:tc>
          <w:tcPr>
            <w:tcW w:type="dxa" w:w="1661"/>
          </w:tcPr>
          <w:p>
            <w:pPr>
              <w:pStyle w:val="null3"/>
            </w:pPr>
            <w:r>
              <w:rPr>
                <w:rFonts w:ascii="仿宋_GB2312" w:hAnsi="仿宋_GB2312" w:cs="仿宋_GB2312" w:eastAsia="仿宋_GB2312"/>
              </w:rPr>
              <w:t>供应商类似项目业绩一览表.docx 中小企业声明函 商务应答表 供应商应提交的相关资格证明材料 响应文件封面 产品技术参数表 供应商认为有必要补充说明的事项.docx 残疾人福利性单位声明函 标的清单 供应商资格证明文件.docx 响应函 服务方案.docx 监狱企业的证明文件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实质性条款响应</w:t>
            </w:r>
          </w:p>
        </w:tc>
        <w:tc>
          <w:tcPr>
            <w:tcW w:type="dxa" w:w="3322"/>
          </w:tcPr>
          <w:p>
            <w:pPr>
              <w:pStyle w:val="null3"/>
            </w:pPr>
            <w:r>
              <w:rPr>
                <w:rFonts w:ascii="仿宋_GB2312" w:hAnsi="仿宋_GB2312" w:cs="仿宋_GB2312" w:eastAsia="仿宋_GB2312"/>
              </w:rPr>
              <w:t>完全响应竞争性磋商文件要求的各项技术（服务）、商务实质性条款</w:t>
            </w:r>
          </w:p>
        </w:tc>
        <w:tc>
          <w:tcPr>
            <w:tcW w:type="dxa" w:w="1661"/>
          </w:tcPr>
          <w:p>
            <w:pPr>
              <w:pStyle w:val="null3"/>
            </w:pPr>
            <w:r>
              <w:rPr>
                <w:rFonts w:ascii="仿宋_GB2312" w:hAnsi="仿宋_GB2312" w:cs="仿宋_GB2312" w:eastAsia="仿宋_GB2312"/>
              </w:rPr>
              <w:t>供应商类似项目业绩一览表.docx 中小企业声明函 商务应答表 供应商应提交的相关资格证明材料 响应文件封面 产品技术参数表 供应商认为有必要补充说明的事项.docx 残疾人福利性单位声明函 标的清单 供应商资格证明文件.docx 响应函 服务方案.docx 监狱企业的证明文件</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合同条款响应</w:t>
            </w:r>
          </w:p>
        </w:tc>
        <w:tc>
          <w:tcPr>
            <w:tcW w:type="dxa" w:w="3322"/>
          </w:tcPr>
          <w:p>
            <w:pPr>
              <w:pStyle w:val="null3"/>
            </w:pPr>
            <w:r>
              <w:rPr>
                <w:rFonts w:ascii="仿宋_GB2312" w:hAnsi="仿宋_GB2312" w:cs="仿宋_GB2312" w:eastAsia="仿宋_GB2312"/>
              </w:rPr>
              <w:t>完全理解并响应竞争性磋商文件合同条款的要求，且未含有采购人不能接受的附加条件</w:t>
            </w:r>
          </w:p>
        </w:tc>
        <w:tc>
          <w:tcPr>
            <w:tcW w:type="dxa" w:w="1661"/>
          </w:tcPr>
          <w:p>
            <w:pPr>
              <w:pStyle w:val="null3"/>
            </w:pPr>
            <w:r>
              <w:rPr>
                <w:rFonts w:ascii="仿宋_GB2312" w:hAnsi="仿宋_GB2312" w:cs="仿宋_GB2312" w:eastAsia="仿宋_GB2312"/>
              </w:rPr>
              <w:t>供应商类似项目业绩一览表.docx 中小企业声明函 商务应答表 供应商应提交的相关资格证明材料 响应文件封面 产品技术参数表 供应商认为有必要补充说明的事项.docx 残疾人福利性单位声明函 标的清单 供应商资格证明文件.docx 响应函 服务方案.docx 监狱企业的证明文件</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完全理解并接受法律法规和竞争性磋商文件对供应商合法经营的各类规约和责任义务要求，没有出现法律法规或竞争性磋商文件规定的其他无效情形</w:t>
            </w:r>
          </w:p>
        </w:tc>
        <w:tc>
          <w:tcPr>
            <w:tcW w:type="dxa" w:w="1661"/>
          </w:tcPr>
          <w:p>
            <w:pPr>
              <w:pStyle w:val="null3"/>
            </w:pPr>
            <w:r>
              <w:rPr>
                <w:rFonts w:ascii="仿宋_GB2312" w:hAnsi="仿宋_GB2312" w:cs="仿宋_GB2312" w:eastAsia="仿宋_GB2312"/>
              </w:rPr>
              <w:t>供应商类似项目业绩一览表.docx 中小企业声明函 商务应答表 供应商应提交的相关资格证明材料 响应文件封面 产品技术参数表 供应商认为有必要补充说明的事项.docx 残疾人福利性单位声明函 标的清单 供应商资格证明文件.docx 响应函 服务方案.docx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 xml:space="preserve"> 一、磋商小组按照磋商文件的规定与邀请参加磋商的供应商分别进行磋商，磋商顺序由磋商小组确定。磋商过程中，磋商小组可以根据磋商情况调整磋商轮次。</w:t>
      </w:r>
    </w:p>
    <w:p>
      <w:pPr>
        <w:pStyle w:val="null3"/>
        <w:ind w:firstLine="480"/>
      </w:pPr>
      <w:r>
        <w:rPr>
          <w:rFonts w:ascii="仿宋_GB2312" w:hAnsi="仿宋_GB2312" w:cs="仿宋_GB2312" w:eastAsia="仿宋_GB2312"/>
        </w:rPr>
        <w:t xml:space="preserve"> 二、磋商小组所有成员集中与单一供应商对技术、服务、合同条款等内容分别进行一轮或多轮的磋商。在磋商中，磋商的任何一方不得透露与磋商有关的其他供应商的技术资料、价格和其他信息。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 xml:space="preserve"> 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 xml:space="preserve"> 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 xml:space="preserve"> （一）供应商响应文件中不响应磋商文件规定的技术参数指标和商务应答；</w:t>
      </w:r>
    </w:p>
    <w:p>
      <w:pPr>
        <w:pStyle w:val="null3"/>
        <w:ind w:firstLine="480"/>
      </w:pPr>
      <w:r>
        <w:rPr>
          <w:rFonts w:ascii="仿宋_GB2312" w:hAnsi="仿宋_GB2312" w:cs="仿宋_GB2312" w:eastAsia="仿宋_GB2312"/>
        </w:rPr>
        <w:t xml:space="preserve"> （二）供应商响应文件中未提供的证明其是否符合磋商文件资格、符合性规定要求的相关材料。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 xml:space="preserve"> 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 xml:space="preserve"> 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 xml:space="preserve"> （四）评审情况记录和说明，包括对供应商响应文件审查情况、磋商情况、报价情况等；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节能环境标志产品</w:t>
            </w:r>
          </w:p>
        </w:tc>
        <w:tc>
          <w:tcPr>
            <w:tcW w:type="dxa" w:w="2492"/>
          </w:tcPr>
          <w:p>
            <w:pPr>
              <w:pStyle w:val="null3"/>
            </w:pPr>
            <w:r>
              <w:rPr>
                <w:rFonts w:ascii="仿宋_GB2312" w:hAnsi="仿宋_GB2312" w:cs="仿宋_GB2312" w:eastAsia="仿宋_GB2312"/>
              </w:rPr>
              <w:t>投标产品中每有一项为节能产品的得0.5分，每有一项为环境标志产品的得0.5分，供应商所投产品中每有一项产品同时为节能产品和环境标志产品的得1分，不重复计分，最高得2分。 节能产品根据《国务院办公厅关于建立政府强制采购节能产品制度的通知》（国办发[2007]51号）的规定，环境标志产品根据《环境标志产品政府采购实施的意见》（财库[2006]90号）的规定，依据品目清单和认证证书实施政府采购优先采购和强制采购。</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供应商认为有必要补充说明的事项.docx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提供2022年6月以来承担过类似项目业绩。（以合同签订日期或中标通知书签署日期为准)；每提供一项业绩得2分，最高得6分。须提供合同或中标通知书复印件并加盖公章，不提供不得分。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供应商类似项目业绩一览表.docx</w:t>
            </w:r>
          </w:p>
          <w:p>
            <w:pPr>
              <w:pStyle w:val="null3"/>
            </w:pPr>
            <w:r>
              <w:rPr>
                <w:rFonts w:ascii="仿宋_GB2312" w:hAnsi="仿宋_GB2312" w:cs="仿宋_GB2312" w:eastAsia="仿宋_GB2312"/>
              </w:rPr>
              <w:t>供应商认为有必要补充说明的事项.docx</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评审内容：①售后服务机构承诺；②售后服务保障措施；③人员配置安排计划；④故障处理响应时间安排计划；⑤服务保证期限；⑥服务保证的范围承诺。 评审依据：每一项内容描述详细，切实可行符合项目实际内容得2.0分，①～⑥项合计得12分。内容①～⑥项任意一项缺项扣2.0分，扣完为止；内容①～⑥项里有一项内容缺陷（缺陷是指：内容不详细具体、条理不清晰、描述过于简单、与项目特点不匹配、凭空编造、出现常识性错误、不可能实现的夸大情形、存在不适用项目实际情况的情形等）扣0.5分，扣完为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供应商认为有必要补充说明的事项.docx</w:t>
            </w:r>
          </w:p>
        </w:tc>
      </w:tr>
      <w:tr>
        <w:tc>
          <w:tcPr>
            <w:tcW w:type="dxa" w:w="831"/>
            <w:vMerge/>
          </w:tcPr>
          <w:p/>
        </w:tc>
        <w:tc>
          <w:tcPr>
            <w:tcW w:type="dxa" w:w="1661"/>
          </w:tcPr>
          <w:p>
            <w:pPr>
              <w:pStyle w:val="null3"/>
            </w:pPr>
            <w:r>
              <w:rPr>
                <w:rFonts w:ascii="仿宋_GB2312" w:hAnsi="仿宋_GB2312" w:cs="仿宋_GB2312" w:eastAsia="仿宋_GB2312"/>
              </w:rPr>
              <w:t>培训</w:t>
            </w:r>
          </w:p>
        </w:tc>
        <w:tc>
          <w:tcPr>
            <w:tcW w:type="dxa" w:w="2492"/>
          </w:tcPr>
          <w:p>
            <w:pPr>
              <w:pStyle w:val="null3"/>
            </w:pPr>
            <w:r>
              <w:rPr>
                <w:rFonts w:ascii="仿宋_GB2312" w:hAnsi="仿宋_GB2312" w:cs="仿宋_GB2312" w:eastAsia="仿宋_GB2312"/>
              </w:rPr>
              <w:t>评审内容：①培训计划；②培训对象；③培训内容；④培训方式；⑤培训目标。 评审依据：每一项内容描述详细，切实可行符合项目实际内容得2.0分，①～⑤项合计得10分。内容①～⑤项任意一项缺项扣2.0分，扣完为止；内容①～⑤项里有一项内容缺陷（缺陷是指：内容不详细具体、条理不清晰、描述过于简单、与项目特点不匹配、凭空编造、出现常识性错误、不可能实现的夸大情形、存在不适用项目实际情况的情形等）扣0.5分，扣完为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供应商认为有必要补充说明的事项.docx</w:t>
            </w:r>
          </w:p>
        </w:tc>
      </w:tr>
      <w:tr>
        <w:tc>
          <w:tcPr>
            <w:tcW w:type="dxa" w:w="831"/>
            <w:vMerge/>
          </w:tcP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磋商响应产品选型符合使用需求，产品配置完整合理，其型号、技术参数清晰明确，根据投标产品的技术指标和性能对磋商文件的响应程度计分。产品整体功能或技术参数完全满足磋商文件要求计10分，部分项负偏离按以下说明扣分。 1.其响应技术指标和性能出现主要技术参数负偏离的（▲号条款），每项扣除2分，扣完为止。 注：主要技术参数（▲号条款）偏离情况除偏离表响应外还须提供相应的证明材料，否则不计分。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供应商认为有必要补充说明的事项.docx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评审内容：①整体规划；②备货；③进度计划；④供货组织；⑤人员配置；⑥分工明细；⑦配送保障。 评审依据：每一项内容描述详细，切实可行符合项目实际内容得2.0分，①～⑦项合计得14分。内容①～⑦项任意一项缺项扣2.0分，扣完为止；内容①～⑦项里有一项内容缺陷（缺陷是指：内容不详细具体、条理不清晰、描述过于简单、与项目特点不匹配、凭空编造、出现常识性错误、不可能实现的夸大情形、存在不适用项目实际情况的情形等）扣0.5分，扣完为止。</w:t>
            </w:r>
          </w:p>
        </w:tc>
        <w:tc>
          <w:tcPr>
            <w:tcW w:type="dxa" w:w="831"/>
          </w:tcPr>
          <w:p>
            <w:pPr>
              <w:pStyle w:val="null3"/>
              <w:jc w:val="right"/>
            </w:pPr>
            <w:r>
              <w:rPr>
                <w:rFonts w:ascii="仿宋_GB2312" w:hAnsi="仿宋_GB2312" w:cs="仿宋_GB2312" w:eastAsia="仿宋_GB2312"/>
              </w:rPr>
              <w:t>14.0000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供应商认为有必要补充说明的事项.docx</w:t>
            </w:r>
          </w:p>
        </w:tc>
      </w:tr>
      <w:tr>
        <w:tc>
          <w:tcPr>
            <w:tcW w:type="dxa" w:w="831"/>
            <w:vMerge/>
          </w:tcPr>
          <w:p/>
        </w:tc>
        <w:tc>
          <w:tcPr>
            <w:tcW w:type="dxa" w:w="1661"/>
          </w:tcPr>
          <w:p>
            <w:pPr>
              <w:pStyle w:val="null3"/>
            </w:pPr>
            <w:r>
              <w:rPr>
                <w:rFonts w:ascii="仿宋_GB2312" w:hAnsi="仿宋_GB2312" w:cs="仿宋_GB2312" w:eastAsia="仿宋_GB2312"/>
              </w:rPr>
              <w:t>安装调试方案</w:t>
            </w:r>
          </w:p>
        </w:tc>
        <w:tc>
          <w:tcPr>
            <w:tcW w:type="dxa" w:w="2492"/>
          </w:tcPr>
          <w:p>
            <w:pPr>
              <w:pStyle w:val="null3"/>
            </w:pPr>
            <w:r>
              <w:rPr>
                <w:rFonts w:ascii="仿宋_GB2312" w:hAnsi="仿宋_GB2312" w:cs="仿宋_GB2312" w:eastAsia="仿宋_GB2312"/>
              </w:rPr>
              <w:t>评审内容：包含但不限于①安装；②调试组织措施。评审依据：每一项内容描述详细，切实可行符合项目实际内容得4.0分，①～②项合计得8分。内容①～②项任意一项缺项扣4.0分，扣完为止；内容①～②项里有一项内容缺陷（缺陷是指：内容不详细具体、条理不清晰、描述过于简单、与项目特点不匹配、凭空编造、出现常识性错误、不可能实现的夸大情形、存在不适用项目实际情况的情形等）扣0.5分，扣完为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供应商认为有必要补充说明的事项.docx</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评审内容：①质量保证措施；②质量保证承诺。 评审依据：每一项内容描述详细，切实可行符合项目实际内容得2.0分，①～②项合计得4分。内容①～②项任意一项缺项扣2.0分，扣完为止；内容①～②项里有一项内容缺陷（缺陷是指：内容不详细具体、条理不清晰、描述过于简单、与项目特点不匹配、凭空编造、出现常识性错误、不可能实现的夸大情形、存在不适用项目实际情况的情形等）扣0.5分，扣完为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供应商认为有必要补充说明的事项.docx</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评审内容：合理化建议。 评审依据：内容描述详细，切实可行符合项目实际内容得4分。内容有一项内容缺陷（缺陷是指：内容不详细具体、条理不清晰、描述过于简单、与项目特点不匹配、凭空编造、出现常识性错误、不可能实现的夸大情形、存在不适用项目实际情况的情形等）扣0.5分，扣完为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供应商认为有必要补充说明的事项.docx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采用低价优先法计算，即满足磋商文件要求且投标价格最低的投标报价为评标基准价，其价格分为满分。 投标报价得分＝（评标基准价/投标报价）×30% ×100备注：当磋商小组认为某个供应商的报价明显低于其他通过符合性审查供应商的报价，有可能影响产品质量和不能诚信履约的，应要求该供应商在评标现场合理的时间内提供书面说明，必要时提交相关证明材料；供应商不能证明其报价合理的，磋商小组将其作为无效投标处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供应商认为有必要补充说明的事项.docx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供应商认为有必要补充说明的事项.docx 中小企业声明函 残疾人福利性单位声明函 标的清单 报价表 服务方案.docx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详见附件：供应商资格证明文件.docx</w:t>
      </w:r>
    </w:p>
    <w:p>
      <w:pPr>
        <w:pStyle w:val="null3"/>
        <w:ind w:firstLine="960"/>
      </w:pPr>
      <w:r>
        <w:rPr>
          <w:rFonts w:ascii="仿宋_GB2312" w:hAnsi="仿宋_GB2312" w:cs="仿宋_GB2312" w:eastAsia="仿宋_GB2312"/>
        </w:rPr>
        <w:t>详见附件：供应商类似项目业绩一览表.docx</w:t>
      </w:r>
    </w:p>
    <w:p>
      <w:pPr>
        <w:pStyle w:val="null3"/>
        <w:ind w:firstLine="960"/>
      </w:pPr>
      <w:r>
        <w:rPr>
          <w:rFonts w:ascii="仿宋_GB2312" w:hAnsi="仿宋_GB2312" w:cs="仿宋_GB2312" w:eastAsia="仿宋_GB2312"/>
        </w:rPr>
        <w:t>详见附件：供应商认为有必要补充说明的事项.docx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详见附件：合同格式.docx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