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版本号：ZJXG202504920250626002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阅览室建设</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ZJXG2025049</w:t>
      </w:r>
      <w:r>
        <w:br/>
      </w:r>
      <w:r>
        <w:br/>
      </w:r>
      <w:r>
        <w:br/>
      </w:r>
    </w:p>
    <w:p>
      <w:pPr>
        <w:pStyle w:val="null3"/>
        <w:jc w:val="center"/>
        <w:outlineLvl w:val="2"/>
      </w:pPr>
      <w:r>
        <w:rPr>
          <w:rFonts w:ascii="仿宋_GB2312" w:hAnsi="仿宋_GB2312" w:cs="仿宋_GB2312" w:eastAsia="仿宋_GB2312"/>
          <w:sz w:val="28"/>
          <w:b/>
        </w:rPr>
        <w:t>西安市第三十八中学</w:t>
      </w:r>
    </w:p>
    <w:p>
      <w:pPr>
        <w:pStyle w:val="null3"/>
        <w:jc w:val="center"/>
        <w:outlineLvl w:val="2"/>
      </w:pPr>
      <w:r>
        <w:rPr>
          <w:rFonts w:ascii="仿宋_GB2312" w:hAnsi="仿宋_GB2312" w:cs="仿宋_GB2312" w:eastAsia="仿宋_GB2312"/>
          <w:sz w:val="28"/>
          <w:b/>
        </w:rPr>
        <w:t>陕西中鉴项目管理有限公司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2025年06月25日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陕西中鉴项目管理有限公司</w:t>
      </w:r>
      <w:r>
        <w:rPr>
          <w:rFonts w:ascii="仿宋_GB2312" w:hAnsi="仿宋_GB2312" w:cs="仿宋_GB2312" w:eastAsia="仿宋_GB2312"/>
        </w:rPr>
        <w:t>（以下简称“代理机构”）受</w:t>
      </w:r>
      <w:r>
        <w:rPr>
          <w:rFonts w:ascii="仿宋_GB2312" w:hAnsi="仿宋_GB2312" w:cs="仿宋_GB2312" w:eastAsia="仿宋_GB2312"/>
        </w:rPr>
        <w:t>西安市第三十八中学</w:t>
      </w:r>
      <w:r>
        <w:rPr>
          <w:rFonts w:ascii="仿宋_GB2312" w:hAnsi="仿宋_GB2312" w:cs="仿宋_GB2312" w:eastAsia="仿宋_GB2312"/>
        </w:rPr>
        <w:t>委托，拟对</w:t>
      </w:r>
      <w:r>
        <w:rPr>
          <w:rFonts w:ascii="仿宋_GB2312" w:hAnsi="仿宋_GB2312" w:cs="仿宋_GB2312" w:eastAsia="仿宋_GB2312"/>
        </w:rPr>
        <w:t>阅览室建设</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ZJXG2025049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阅览室建设</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西安市第三十八中学阅览室建设，详见竞争性磋商文件。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采购包1（阅览室建设）：属于专门面向中小企业采购。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1、有效的主体资格证明：具有独立承担民事责任能力的法人、其他组织或自然人，并出具合法有效的相关证明材料。供应商需在项目电子化交易系统中按要求上传相应证明文件并进行电子签章；</w:t>
      </w:r>
    </w:p>
    <w:p>
      <w:pPr>
        <w:pStyle w:val="null3"/>
      </w:pPr>
      <w:r>
        <w:rPr>
          <w:rFonts w:ascii="仿宋_GB2312" w:hAnsi="仿宋_GB2312" w:cs="仿宋_GB2312" w:eastAsia="仿宋_GB2312"/>
        </w:rPr>
        <w:t>2、财务状况报告：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p>
      <w:pPr>
        <w:pStyle w:val="null3"/>
      </w:pPr>
      <w:r>
        <w:rPr>
          <w:rFonts w:ascii="仿宋_GB2312" w:hAnsi="仿宋_GB2312" w:cs="仿宋_GB2312" w:eastAsia="仿宋_GB2312"/>
        </w:rPr>
        <w:t>3、税收缴纳证明：提供2024年1月至今已缴纳的1个月的纳税证明或完税证明，依法免税的单位应提供相关证明材料。供应商需在项目电子化交易系统中按要求上传相应证明文件并进行电子签章；</w:t>
      </w:r>
    </w:p>
    <w:p>
      <w:pPr>
        <w:pStyle w:val="null3"/>
      </w:pPr>
      <w:r>
        <w:rPr>
          <w:rFonts w:ascii="仿宋_GB2312" w:hAnsi="仿宋_GB2312" w:cs="仿宋_GB2312" w:eastAsia="仿宋_GB2312"/>
        </w:rPr>
        <w:t>4、社会保障资金缴纳证明：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p>
      <w:pPr>
        <w:pStyle w:val="null3"/>
      </w:pPr>
      <w:r>
        <w:rPr>
          <w:rFonts w:ascii="仿宋_GB2312" w:hAnsi="仿宋_GB2312" w:cs="仿宋_GB2312" w:eastAsia="仿宋_GB2312"/>
        </w:rPr>
        <w:t>5、履行合同所必需的设备和专业技术能力：提供具有履行合同所必需的设备和专业技术能力的承诺。供应商需在项目电子化交易系统中按要求上传相应证明文件并进行电子签章；</w:t>
      </w:r>
    </w:p>
    <w:p>
      <w:pPr>
        <w:pStyle w:val="null3"/>
      </w:pPr>
      <w:r>
        <w:rPr>
          <w:rFonts w:ascii="仿宋_GB2312" w:hAnsi="仿宋_GB2312" w:cs="仿宋_GB2312" w:eastAsia="仿宋_GB2312"/>
        </w:rPr>
        <w:t>6、前三年无重大违法记录声明：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p>
      <w:pPr>
        <w:pStyle w:val="null3"/>
      </w:pPr>
      <w:r>
        <w:rPr>
          <w:rFonts w:ascii="仿宋_GB2312" w:hAnsi="仿宋_GB2312" w:cs="仿宋_GB2312" w:eastAsia="仿宋_GB2312"/>
        </w:rPr>
        <w:t>7、授权书及被授权人身份证：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p>
      <w:pPr>
        <w:pStyle w:val="null3"/>
      </w:pPr>
      <w:r>
        <w:rPr>
          <w:rFonts w:ascii="仿宋_GB2312" w:hAnsi="仿宋_GB2312" w:cs="仿宋_GB2312" w:eastAsia="仿宋_GB2312"/>
        </w:rPr>
        <w:t>8、企业资质：供应商具有建设行政主管部门颁发的有效期内的钢结构工程专业承包三级及以上资质，且具备有效的安全生产许可证。供应商需在项目电子化交易系统中按要求上传相应证明文件并进行电子签章；</w:t>
      </w:r>
    </w:p>
    <w:p>
      <w:pPr>
        <w:pStyle w:val="null3"/>
      </w:pPr>
      <w:r>
        <w:rPr>
          <w:rFonts w:ascii="仿宋_GB2312" w:hAnsi="仿宋_GB2312" w:cs="仿宋_GB2312" w:eastAsia="仿宋_GB2312"/>
        </w:rPr>
        <w:t>9、企业人员资质：拟派项目经理须具备二级及以上注册建造师证书。专业：建筑工程。补充说明：同时具备有效期内的安全生产考核合格证书（安B证），本单位注册且无在建项目（提供承诺书）。供应商需在项目电子化交易系统中按要求上传相应证明文件并进行电子签章；</w:t>
      </w:r>
    </w:p>
    <w:p>
      <w:pPr>
        <w:pStyle w:val="null3"/>
      </w:pPr>
      <w:r>
        <w:rPr>
          <w:rFonts w:ascii="仿宋_GB2312" w:hAnsi="仿宋_GB2312" w:cs="仿宋_GB2312" w:eastAsia="仿宋_GB2312"/>
        </w:rPr>
        <w:t>10、信用查询：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p>
      <w:pPr>
        <w:pStyle w:val="null3"/>
      </w:pPr>
      <w:r>
        <w:rPr>
          <w:rFonts w:ascii="仿宋_GB2312" w:hAnsi="仿宋_GB2312" w:cs="仿宋_GB2312" w:eastAsia="仿宋_GB2312"/>
        </w:rPr>
        <w:t>11、其他要求：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p>
      <w:pPr>
        <w:pStyle w:val="null3"/>
      </w:pPr>
      <w:r>
        <w:rPr>
          <w:rFonts w:ascii="仿宋_GB2312" w:hAnsi="仿宋_GB2312" w:cs="仿宋_GB2312" w:eastAsia="仿宋_GB2312"/>
        </w:rPr>
        <w:t>12、中小企业：本合同包为专门面向中小企业采购（提供中小企业声明函或监狱企业的证明文件或残疾人福利性单位声明函）。供应商需在项目电子化交易系统中按要求上传相应证明文件并进行电子签章；</w:t>
      </w:r>
    </w:p>
    <w:p>
      <w:pPr>
        <w:pStyle w:val="null3"/>
      </w:pPr>
      <w:r>
        <w:rPr>
          <w:rFonts w:ascii="仿宋_GB2312" w:hAnsi="仿宋_GB2312" w:cs="仿宋_GB2312" w:eastAsia="仿宋_GB2312"/>
        </w:rPr>
        <w:t>13、是否接受联合体投标：本项目不接受联合体投标，供应商需在项目电子化交易系统中按要求上传相应证明文件并进行电子签章。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西安市第三十八中学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西安市太华南路226号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孔老师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029-86350069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陕西中鉴项目管理有限公司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陕西省西安市未央区未央路109号万象未央1号楼506室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曹增辉</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029-88229191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西安市新城区政府采购管理股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刘婷</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029-87438480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采购包1：838,652.28元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参照国家计委颁发的《招标代理服务收费管理暂行办法》（计价格〔2002〕1980号）和国家发展和改革委员会办公厅颁发的《关于招标代理服务收费有关问题的通知》（发改办价格〔2003〕857号）的文件收费标准计取。 成交单位服务费交纳信息 银行户名：陕西中鉴项目管理有限公司 开户行：招商银行股份有限公司西安分行营业部 账号：129911072510777</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西安市第三十八中学</w:t>
      </w:r>
      <w:r>
        <w:rPr>
          <w:rFonts w:ascii="仿宋_GB2312" w:hAnsi="仿宋_GB2312" w:cs="仿宋_GB2312" w:eastAsia="仿宋_GB2312"/>
        </w:rPr>
        <w:t>和</w:t>
      </w:r>
      <w:r>
        <w:rPr>
          <w:rFonts w:ascii="仿宋_GB2312" w:hAnsi="仿宋_GB2312" w:cs="仿宋_GB2312" w:eastAsia="仿宋_GB2312"/>
        </w:rPr>
        <w:t>陕西中鉴项目管理有限公司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西安市第三十八中学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陕西中鉴项目管理有限公司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西安市第三十八中学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陕西中鉴项目管理有限公司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在本单位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按照竞争性磋商文件及成交供应商竞争性磋商响应文件进行履约验收。</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陕西中鉴项目管理有限公司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联系人：曹增辉</w:t>
      </w:r>
    </w:p>
    <w:p>
      <w:pPr>
        <w:pStyle w:val="null3"/>
      </w:pPr>
      <w:r>
        <w:rPr>
          <w:rFonts w:ascii="仿宋_GB2312" w:hAnsi="仿宋_GB2312" w:cs="仿宋_GB2312" w:eastAsia="仿宋_GB2312"/>
        </w:rPr>
        <w:t>联系电话：029-88229191</w:t>
      </w:r>
    </w:p>
    <w:p>
      <w:pPr>
        <w:pStyle w:val="null3"/>
      </w:pPr>
      <w:r>
        <w:rPr>
          <w:rFonts w:ascii="仿宋_GB2312" w:hAnsi="仿宋_GB2312" w:cs="仿宋_GB2312" w:eastAsia="仿宋_GB2312"/>
        </w:rPr>
        <w:t>地址：陕西省西安市未央区未央路109号万象未央1号楼506室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838,652.28</w:t>
      </w:r>
    </w:p>
    <w:p>
      <w:pPr>
        <w:pStyle w:val="null3"/>
      </w:pPr>
      <w:r>
        <w:rPr>
          <w:rFonts w:ascii="仿宋_GB2312" w:hAnsi="仿宋_GB2312" w:cs="仿宋_GB2312" w:eastAsia="仿宋_GB2312"/>
        </w:rPr>
        <w:t>采购包最高限价（元）: 838,652.28</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阅览室建设</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838,652.28</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标的名称：阅览室建设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150" w:after="465"/>
              <w:jc w:val="center"/>
            </w:pPr>
            <w:r>
              <w:rPr>
                <w:rFonts w:ascii="仿宋_GB2312" w:hAnsi="仿宋_GB2312" w:cs="仿宋_GB2312" w:eastAsia="仿宋_GB2312"/>
                <w:sz w:val="36"/>
                <w:b/>
              </w:rPr>
              <w:t>编</w:t>
            </w:r>
            <w:r>
              <w:rPr>
                <w:rFonts w:ascii="仿宋_GB2312" w:hAnsi="仿宋_GB2312" w:cs="仿宋_GB2312" w:eastAsia="仿宋_GB2312"/>
                <w:sz w:val="21"/>
                <w:b/>
              </w:rPr>
              <w:t xml:space="preserve"> </w:t>
            </w:r>
            <w:r>
              <w:rPr>
                <w:rFonts w:ascii="仿宋_GB2312" w:hAnsi="仿宋_GB2312" w:cs="仿宋_GB2312" w:eastAsia="仿宋_GB2312"/>
                <w:sz w:val="36"/>
                <w:b/>
              </w:rPr>
              <w:t>制</w:t>
            </w:r>
            <w:r>
              <w:rPr>
                <w:rFonts w:ascii="仿宋_GB2312" w:hAnsi="仿宋_GB2312" w:cs="仿宋_GB2312" w:eastAsia="仿宋_GB2312"/>
                <w:sz w:val="21"/>
                <w:b/>
              </w:rPr>
              <w:t xml:space="preserve"> </w:t>
            </w:r>
            <w:r>
              <w:rPr>
                <w:rFonts w:ascii="仿宋_GB2312" w:hAnsi="仿宋_GB2312" w:cs="仿宋_GB2312" w:eastAsia="仿宋_GB2312"/>
                <w:sz w:val="36"/>
                <w:b/>
              </w:rPr>
              <w:t>说</w:t>
            </w:r>
            <w:r>
              <w:rPr>
                <w:rFonts w:ascii="仿宋_GB2312" w:hAnsi="仿宋_GB2312" w:cs="仿宋_GB2312" w:eastAsia="仿宋_GB2312"/>
                <w:sz w:val="21"/>
                <w:b/>
              </w:rPr>
              <w:t xml:space="preserve"> </w:t>
            </w:r>
            <w:r>
              <w:rPr>
                <w:rFonts w:ascii="仿宋_GB2312" w:hAnsi="仿宋_GB2312" w:cs="仿宋_GB2312" w:eastAsia="仿宋_GB2312"/>
                <w:sz w:val="36"/>
                <w:b/>
              </w:rPr>
              <w:t>明</w:t>
            </w:r>
          </w:p>
          <w:p>
            <w:pPr>
              <w:pStyle w:val="null3"/>
              <w:jc w:val="both"/>
            </w:pPr>
            <w:r>
              <w:rPr>
                <w:rFonts w:ascii="仿宋_GB2312" w:hAnsi="仿宋_GB2312" w:cs="仿宋_GB2312" w:eastAsia="仿宋_GB2312"/>
                <w:sz w:val="28"/>
                <w:b/>
              </w:rPr>
              <w:t>一、</w:t>
            </w:r>
            <w:r>
              <w:rPr>
                <w:rFonts w:ascii="仿宋_GB2312" w:hAnsi="仿宋_GB2312" w:cs="仿宋_GB2312" w:eastAsia="仿宋_GB2312"/>
                <w:sz w:val="28"/>
                <w:b/>
              </w:rPr>
              <w:t>项目概况</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工程名称：西安市第三十八中学阅览室改建项目</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工程地点：西安市新城区</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工程内容：</w:t>
            </w:r>
            <w:r>
              <w:rPr>
                <w:rFonts w:ascii="仿宋_GB2312" w:hAnsi="仿宋_GB2312" w:cs="仿宋_GB2312" w:eastAsia="仿宋_GB2312"/>
                <w:sz w:val="24"/>
              </w:rPr>
              <w:t>施工图设计</w:t>
            </w:r>
            <w:r>
              <w:rPr>
                <w:rFonts w:ascii="仿宋_GB2312" w:hAnsi="仿宋_GB2312" w:cs="仿宋_GB2312" w:eastAsia="仿宋_GB2312"/>
                <w:sz w:val="24"/>
              </w:rPr>
              <w:t>内的</w:t>
            </w:r>
            <w:r>
              <w:rPr>
                <w:rFonts w:ascii="仿宋_GB2312" w:hAnsi="仿宋_GB2312" w:cs="仿宋_GB2312" w:eastAsia="仿宋_GB2312"/>
                <w:sz w:val="24"/>
              </w:rPr>
              <w:t>建筑结构及电气专业，详见工程量清单。</w:t>
            </w:r>
          </w:p>
          <w:p>
            <w:pPr>
              <w:pStyle w:val="null3"/>
              <w:jc w:val="both"/>
            </w:pPr>
            <w:r>
              <w:rPr>
                <w:rFonts w:ascii="仿宋_GB2312" w:hAnsi="仿宋_GB2312" w:cs="仿宋_GB2312" w:eastAsia="仿宋_GB2312"/>
                <w:sz w:val="28"/>
                <w:b/>
              </w:rPr>
              <w:t>二、编制依据</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《陕西省建设工程工程量清单计价规则（</w:t>
            </w:r>
            <w:r>
              <w:rPr>
                <w:rFonts w:ascii="仿宋_GB2312" w:hAnsi="仿宋_GB2312" w:cs="仿宋_GB2312" w:eastAsia="仿宋_GB2312"/>
                <w:sz w:val="24"/>
              </w:rPr>
              <w:t>2009</w:t>
            </w:r>
            <w:r>
              <w:rPr>
                <w:rFonts w:ascii="仿宋_GB2312" w:hAnsi="仿宋_GB2312" w:cs="仿宋_GB2312" w:eastAsia="仿宋_GB2312"/>
                <w:sz w:val="24"/>
              </w:rPr>
              <w:t>）》和《陕西省建筑装饰、安装工程消耗量定额（</w:t>
            </w:r>
            <w:r>
              <w:rPr>
                <w:rFonts w:ascii="仿宋_GB2312" w:hAnsi="仿宋_GB2312" w:cs="仿宋_GB2312" w:eastAsia="仿宋_GB2312"/>
                <w:sz w:val="24"/>
              </w:rPr>
              <w:t>2004</w:t>
            </w:r>
            <w:r>
              <w:rPr>
                <w:rFonts w:ascii="仿宋_GB2312" w:hAnsi="仿宋_GB2312" w:cs="仿宋_GB2312" w:eastAsia="仿宋_GB2312"/>
                <w:sz w:val="24"/>
              </w:rPr>
              <w:t>）》及其补充定额和《陕西省建筑装饰、安装工程价目表</w:t>
            </w:r>
            <w:r>
              <w:rPr>
                <w:rFonts w:ascii="仿宋_GB2312" w:hAnsi="仿宋_GB2312" w:cs="仿宋_GB2312" w:eastAsia="仿宋_GB2312"/>
                <w:sz w:val="24"/>
              </w:rPr>
              <w:t>(2009)</w:t>
            </w:r>
            <w:r>
              <w:rPr>
                <w:rFonts w:ascii="仿宋_GB2312" w:hAnsi="仿宋_GB2312" w:cs="仿宋_GB2312" w:eastAsia="仿宋_GB2312"/>
                <w:sz w:val="24"/>
              </w:rPr>
              <w:t>》及与其相配套的费用定额；</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陕西省住房和城乡建设厅《关于调整我省建设工程计价依据的通知》陕建发</w:t>
            </w:r>
            <w:r>
              <w:rPr>
                <w:rFonts w:ascii="仿宋_GB2312" w:hAnsi="仿宋_GB2312" w:cs="仿宋_GB2312" w:eastAsia="仿宋_GB2312"/>
                <w:sz w:val="24"/>
              </w:rPr>
              <w:t>【</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45</w:t>
            </w:r>
            <w:r>
              <w:rPr>
                <w:rFonts w:ascii="仿宋_GB2312" w:hAnsi="仿宋_GB2312" w:cs="仿宋_GB2312" w:eastAsia="仿宋_GB2312"/>
                <w:sz w:val="24"/>
              </w:rPr>
              <w:t>号文件</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3.</w:t>
            </w:r>
            <w:r>
              <w:rPr>
                <w:rFonts w:ascii="仿宋_GB2312" w:hAnsi="仿宋_GB2312" w:cs="仿宋_GB2312" w:eastAsia="仿宋_GB2312"/>
                <w:sz w:val="24"/>
              </w:rPr>
              <w:t>陕西省住房和城乡建设厅《关于发布我省落实建筑工人实名制管理计价依据的通知》陕建发〔</w:t>
            </w:r>
            <w:r>
              <w:rPr>
                <w:rFonts w:ascii="仿宋_GB2312" w:hAnsi="仿宋_GB2312" w:cs="仿宋_GB2312" w:eastAsia="仿宋_GB2312"/>
                <w:sz w:val="24"/>
              </w:rPr>
              <w:t>2019</w:t>
            </w:r>
            <w:r>
              <w:rPr>
                <w:rFonts w:ascii="仿宋_GB2312" w:hAnsi="仿宋_GB2312" w:cs="仿宋_GB2312" w:eastAsia="仿宋_GB2312"/>
                <w:sz w:val="24"/>
              </w:rPr>
              <w:t>〕</w:t>
            </w:r>
            <w:r>
              <w:rPr>
                <w:rFonts w:ascii="仿宋_GB2312" w:hAnsi="仿宋_GB2312" w:cs="仿宋_GB2312" w:eastAsia="仿宋_GB2312"/>
                <w:sz w:val="24"/>
              </w:rPr>
              <w:t>1246</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陕西省住房和城乡建设厅《关于建筑施工安全生产责任保险费用计价的通知》陕建发〔</w:t>
            </w:r>
            <w:r>
              <w:rPr>
                <w:rFonts w:ascii="仿宋_GB2312" w:hAnsi="仿宋_GB2312" w:cs="仿宋_GB2312" w:eastAsia="仿宋_GB2312"/>
                <w:sz w:val="24"/>
              </w:rPr>
              <w:t>2020</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5.</w:t>
            </w:r>
            <w:r>
              <w:rPr>
                <w:rFonts w:ascii="仿宋_GB2312" w:hAnsi="仿宋_GB2312" w:cs="仿宋_GB2312" w:eastAsia="仿宋_GB2312"/>
                <w:sz w:val="24"/>
              </w:rPr>
              <w:t>建设工程扬尘治理专项措施费执行陕西省住房和城乡建设厅《关于增加建设工程扬尘治理专项措施费及综合人工单价调整的通知》陕建发</w:t>
            </w:r>
            <w:r>
              <w:rPr>
                <w:rFonts w:ascii="仿宋_GB2312" w:hAnsi="仿宋_GB2312" w:cs="仿宋_GB2312" w:eastAsia="仿宋_GB2312"/>
                <w:sz w:val="24"/>
              </w:rPr>
              <w:t>〔</w:t>
            </w:r>
            <w:r>
              <w:rPr>
                <w:rFonts w:ascii="仿宋_GB2312" w:hAnsi="仿宋_GB2312" w:cs="仿宋_GB2312" w:eastAsia="仿宋_GB2312"/>
                <w:sz w:val="24"/>
              </w:rPr>
              <w:t>2017</w:t>
            </w:r>
            <w:r>
              <w:rPr>
                <w:rFonts w:ascii="仿宋_GB2312" w:hAnsi="仿宋_GB2312" w:cs="仿宋_GB2312" w:eastAsia="仿宋_GB2312"/>
                <w:sz w:val="24"/>
              </w:rPr>
              <w:t>〕</w:t>
            </w:r>
            <w:r>
              <w:rPr>
                <w:rFonts w:ascii="仿宋_GB2312" w:hAnsi="仿宋_GB2312" w:cs="仿宋_GB2312" w:eastAsia="仿宋_GB2312"/>
                <w:sz w:val="24"/>
              </w:rPr>
              <w:t>270</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6.</w:t>
            </w:r>
            <w:r>
              <w:rPr>
                <w:rFonts w:ascii="仿宋_GB2312" w:hAnsi="仿宋_GB2312" w:cs="仿宋_GB2312" w:eastAsia="仿宋_GB2312"/>
                <w:sz w:val="24"/>
              </w:rPr>
              <w:t>劳保统筹执行陕西省住房和城乡建设厅《关于全省统一停止收缴建筑业劳保费用的通知》陕建发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1021</w:t>
            </w:r>
            <w:r>
              <w:rPr>
                <w:rFonts w:ascii="仿宋_GB2312" w:hAnsi="仿宋_GB2312" w:cs="仿宋_GB2312" w:eastAsia="仿宋_GB2312"/>
                <w:sz w:val="24"/>
              </w:rPr>
              <w:t>号文件；</w:t>
            </w:r>
          </w:p>
          <w:p>
            <w:pPr>
              <w:pStyle w:val="null3"/>
              <w:ind w:firstLine="480"/>
              <w:jc w:val="both"/>
            </w:pPr>
            <w:r>
              <w:rPr>
                <w:rFonts w:ascii="仿宋_GB2312" w:hAnsi="仿宋_GB2312" w:cs="仿宋_GB2312" w:eastAsia="仿宋_GB2312"/>
                <w:sz w:val="24"/>
              </w:rPr>
              <w:t>7.</w:t>
            </w:r>
            <w:r>
              <w:rPr>
                <w:rFonts w:ascii="仿宋_GB2312" w:hAnsi="仿宋_GB2312" w:cs="仿宋_GB2312" w:eastAsia="仿宋_GB2312"/>
                <w:sz w:val="24"/>
              </w:rPr>
              <w:t>《关于加强建筑行业养老保险缴费用和养老保险费用计价监管有关事项的通知》（陕建发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61</w:t>
            </w:r>
            <w:r>
              <w:rPr>
                <w:rFonts w:ascii="仿宋_GB2312" w:hAnsi="仿宋_GB2312" w:cs="仿宋_GB2312" w:eastAsia="仿宋_GB2312"/>
                <w:sz w:val="24"/>
              </w:rPr>
              <w:t>号）；</w:t>
            </w:r>
          </w:p>
          <w:p>
            <w:pPr>
              <w:pStyle w:val="null3"/>
              <w:ind w:firstLine="480"/>
              <w:jc w:val="both"/>
            </w:pPr>
            <w:r>
              <w:rPr>
                <w:rFonts w:ascii="仿宋_GB2312" w:hAnsi="仿宋_GB2312" w:cs="仿宋_GB2312" w:eastAsia="仿宋_GB2312"/>
                <w:sz w:val="24"/>
              </w:rPr>
              <w:t>8.</w:t>
            </w:r>
            <w:r>
              <w:rPr>
                <w:rFonts w:ascii="仿宋_GB2312" w:hAnsi="仿宋_GB2312" w:cs="仿宋_GB2312" w:eastAsia="仿宋_GB2312"/>
                <w:sz w:val="24"/>
              </w:rPr>
              <w:t>人工费执行陕建发</w:t>
            </w:r>
            <w:r>
              <w:rPr>
                <w:rFonts w:ascii="仿宋_GB2312" w:hAnsi="仿宋_GB2312" w:cs="仿宋_GB2312" w:eastAsia="仿宋_GB2312"/>
                <w:sz w:val="24"/>
              </w:rPr>
              <w:t>〔</w:t>
            </w:r>
            <w:r>
              <w:rPr>
                <w:rFonts w:ascii="仿宋_GB2312" w:hAnsi="仿宋_GB2312" w:cs="仿宋_GB2312" w:eastAsia="仿宋_GB2312"/>
                <w:sz w:val="24"/>
              </w:rPr>
              <w:t>2021</w:t>
            </w:r>
            <w:r>
              <w:rPr>
                <w:rFonts w:ascii="仿宋_GB2312" w:hAnsi="仿宋_GB2312" w:cs="仿宋_GB2312" w:eastAsia="仿宋_GB2312"/>
                <w:sz w:val="24"/>
              </w:rPr>
              <w:t>〕</w:t>
            </w:r>
            <w:r>
              <w:rPr>
                <w:rFonts w:ascii="仿宋_GB2312" w:hAnsi="仿宋_GB2312" w:cs="仿宋_GB2312" w:eastAsia="仿宋_GB2312"/>
                <w:sz w:val="24"/>
              </w:rPr>
              <w:t>1097</w:t>
            </w:r>
            <w:r>
              <w:rPr>
                <w:rFonts w:ascii="仿宋_GB2312" w:hAnsi="仿宋_GB2312" w:cs="仿宋_GB2312" w:eastAsia="仿宋_GB2312"/>
                <w:sz w:val="24"/>
              </w:rPr>
              <w:t>号文件《关于调整房屋建筑和市政基础设施工程工程量清单计价综合人工单价的通知》；</w:t>
            </w:r>
          </w:p>
          <w:p>
            <w:pPr>
              <w:pStyle w:val="null3"/>
              <w:ind w:firstLine="480"/>
              <w:jc w:val="both"/>
            </w:pPr>
            <w:r>
              <w:rPr>
                <w:rFonts w:ascii="仿宋_GB2312" w:hAnsi="仿宋_GB2312" w:cs="仿宋_GB2312" w:eastAsia="仿宋_GB2312"/>
                <w:sz w:val="24"/>
              </w:rPr>
              <w:t>9.</w:t>
            </w:r>
            <w:r>
              <w:rPr>
                <w:rFonts w:ascii="仿宋_GB2312" w:hAnsi="仿宋_GB2312" w:cs="仿宋_GB2312" w:eastAsia="仿宋_GB2312"/>
                <w:sz w:val="24"/>
              </w:rPr>
              <w:t>材料价格依据陕西省工程造价信息</w:t>
            </w:r>
            <w:r>
              <w:rPr>
                <w:rFonts w:ascii="仿宋_GB2312" w:hAnsi="仿宋_GB2312" w:cs="仿宋_GB2312" w:eastAsia="仿宋_GB2312"/>
                <w:sz w:val="24"/>
              </w:rPr>
              <w:t>202</w:t>
            </w:r>
            <w:r>
              <w:rPr>
                <w:rFonts w:ascii="仿宋_GB2312" w:hAnsi="仿宋_GB2312" w:cs="仿宋_GB2312" w:eastAsia="仿宋_GB2312"/>
                <w:sz w:val="24"/>
              </w:rPr>
              <w:t>5</w:t>
            </w:r>
            <w:r>
              <w:rPr>
                <w:rFonts w:ascii="仿宋_GB2312" w:hAnsi="仿宋_GB2312" w:cs="仿宋_GB2312" w:eastAsia="仿宋_GB2312"/>
                <w:sz w:val="24"/>
              </w:rPr>
              <w:t>年第</w:t>
            </w:r>
            <w:r>
              <w:rPr>
                <w:rFonts w:ascii="仿宋_GB2312" w:hAnsi="仿宋_GB2312" w:cs="仿宋_GB2312" w:eastAsia="仿宋_GB2312"/>
                <w:sz w:val="24"/>
              </w:rPr>
              <w:t>4</w:t>
            </w:r>
            <w:r>
              <w:rPr>
                <w:rFonts w:ascii="仿宋_GB2312" w:hAnsi="仿宋_GB2312" w:cs="仿宋_GB2312" w:eastAsia="仿宋_GB2312"/>
                <w:sz w:val="24"/>
              </w:rPr>
              <w:t>期</w:t>
            </w:r>
            <w:r>
              <w:rPr>
                <w:rFonts w:ascii="仿宋_GB2312" w:hAnsi="仿宋_GB2312" w:cs="仿宋_GB2312" w:eastAsia="仿宋_GB2312"/>
                <w:sz w:val="24"/>
              </w:rPr>
              <w:t>以及市场询价；</w:t>
            </w:r>
          </w:p>
          <w:p>
            <w:pPr>
              <w:pStyle w:val="null3"/>
              <w:ind w:firstLine="480"/>
              <w:jc w:val="both"/>
            </w:pPr>
            <w:r>
              <w:rPr>
                <w:rFonts w:ascii="仿宋_GB2312" w:hAnsi="仿宋_GB2312" w:cs="仿宋_GB2312" w:eastAsia="仿宋_GB2312"/>
                <w:sz w:val="24"/>
              </w:rPr>
              <w:t>10.</w:t>
            </w:r>
            <w:r>
              <w:rPr>
                <w:rFonts w:ascii="仿宋_GB2312" w:hAnsi="仿宋_GB2312" w:cs="仿宋_GB2312" w:eastAsia="仿宋_GB2312"/>
                <w:sz w:val="24"/>
              </w:rPr>
              <w:t>正常施工组织设计、施工方法及标准图集；</w:t>
            </w:r>
          </w:p>
          <w:p>
            <w:pPr>
              <w:pStyle w:val="null3"/>
              <w:ind w:firstLine="480"/>
              <w:jc w:val="both"/>
            </w:pPr>
            <w:r>
              <w:rPr>
                <w:rFonts w:ascii="仿宋_GB2312" w:hAnsi="仿宋_GB2312" w:cs="仿宋_GB2312" w:eastAsia="仿宋_GB2312"/>
                <w:sz w:val="24"/>
              </w:rPr>
              <w:t>11.</w:t>
            </w:r>
            <w:r>
              <w:rPr>
                <w:rFonts w:ascii="仿宋_GB2312" w:hAnsi="仿宋_GB2312" w:cs="仿宋_GB2312" w:eastAsia="仿宋_GB2312"/>
                <w:sz w:val="24"/>
              </w:rPr>
              <w:t>依据西安市第三十八中学阅览室改建项目施工图纸计算工程量；</w:t>
            </w:r>
          </w:p>
          <w:p>
            <w:pPr>
              <w:pStyle w:val="null3"/>
              <w:ind w:firstLine="480"/>
              <w:jc w:val="both"/>
            </w:pPr>
            <w:r>
              <w:rPr>
                <w:rFonts w:ascii="仿宋_GB2312" w:hAnsi="仿宋_GB2312" w:cs="仿宋_GB2312" w:eastAsia="仿宋_GB2312"/>
                <w:sz w:val="24"/>
              </w:rPr>
              <w:t>12.</w:t>
            </w:r>
            <w:r>
              <w:rPr>
                <w:rFonts w:ascii="仿宋_GB2312" w:hAnsi="仿宋_GB2312" w:cs="仿宋_GB2312" w:eastAsia="仿宋_GB2312"/>
                <w:sz w:val="24"/>
              </w:rPr>
              <w:t>计价软件采用广联达云计价平台</w:t>
            </w:r>
            <w:r>
              <w:rPr>
                <w:rFonts w:ascii="仿宋_GB2312" w:hAnsi="仿宋_GB2312" w:cs="仿宋_GB2312" w:eastAsia="仿宋_GB2312"/>
                <w:sz w:val="24"/>
              </w:rPr>
              <w:t>GCCP</w:t>
            </w:r>
            <w:r>
              <w:rPr>
                <w:rFonts w:ascii="仿宋_GB2312" w:hAnsi="仿宋_GB2312" w:cs="仿宋_GB2312" w:eastAsia="仿宋_GB2312"/>
                <w:sz w:val="24"/>
              </w:rPr>
              <w:t xml:space="preserve"> 6.0</w:t>
            </w:r>
            <w:r>
              <w:rPr>
                <w:rFonts w:ascii="仿宋_GB2312" w:hAnsi="仿宋_GB2312" w:cs="仿宋_GB2312" w:eastAsia="仿宋_GB2312"/>
                <w:sz w:val="24"/>
              </w:rPr>
              <w:t xml:space="preserve"> </w:t>
            </w:r>
            <w:r>
              <w:rPr>
                <w:rFonts w:ascii="仿宋_GB2312" w:hAnsi="仿宋_GB2312" w:cs="仿宋_GB2312" w:eastAsia="仿宋_GB2312"/>
                <w:sz w:val="24"/>
              </w:rPr>
              <w:t>版本：</w:t>
            </w:r>
            <w:r>
              <w:rPr>
                <w:rFonts w:ascii="仿宋_GB2312" w:hAnsi="仿宋_GB2312" w:cs="仿宋_GB2312" w:eastAsia="仿宋_GB2312"/>
                <w:sz w:val="24"/>
              </w:rPr>
              <w:t>6.4100.23.</w:t>
            </w:r>
            <w:r>
              <w:rPr>
                <w:rFonts w:ascii="仿宋_GB2312" w:hAnsi="仿宋_GB2312" w:cs="仿宋_GB2312" w:eastAsia="仿宋_GB2312"/>
                <w:sz w:val="24"/>
              </w:rPr>
              <w:t>122</w:t>
            </w:r>
            <w:r>
              <w:rPr>
                <w:rFonts w:ascii="仿宋_GB2312" w:hAnsi="仿宋_GB2312" w:cs="仿宋_GB2312" w:eastAsia="仿宋_GB2312"/>
                <w:sz w:val="24"/>
              </w:rPr>
              <w:t>。</w:t>
            </w:r>
          </w:p>
          <w:p>
            <w:pPr>
              <w:pStyle w:val="null3"/>
              <w:jc w:val="left"/>
            </w:pPr>
            <w:r>
              <w:rPr>
                <w:rFonts w:ascii="仿宋_GB2312" w:hAnsi="仿宋_GB2312" w:cs="仿宋_GB2312" w:eastAsia="仿宋_GB2312"/>
                <w:sz w:val="28"/>
                <w:b/>
              </w:rPr>
              <w:t>三、其他说明</w:t>
            </w:r>
          </w:p>
          <w:p>
            <w:pPr>
              <w:pStyle w:val="null3"/>
              <w:ind w:firstLine="480"/>
              <w:jc w:val="both"/>
            </w:pPr>
            <w:r>
              <w:rPr>
                <w:rFonts w:ascii="仿宋_GB2312" w:hAnsi="仿宋_GB2312" w:cs="仿宋_GB2312" w:eastAsia="仿宋_GB2312"/>
                <w:sz w:val="24"/>
              </w:rPr>
              <w:t>1.</w:t>
            </w:r>
            <w:r>
              <w:rPr>
                <w:rFonts w:ascii="仿宋_GB2312" w:hAnsi="仿宋_GB2312" w:cs="仿宋_GB2312" w:eastAsia="仿宋_GB2312"/>
                <w:sz w:val="24"/>
              </w:rPr>
              <w:t>本工程按商品混凝土、预拌干混砂浆、熟石灰进行计价</w:t>
            </w:r>
            <w:r>
              <w:rPr>
                <w:rFonts w:ascii="仿宋_GB2312" w:hAnsi="仿宋_GB2312" w:cs="仿宋_GB2312" w:eastAsia="仿宋_GB2312"/>
                <w:sz w:val="24"/>
              </w:rPr>
              <w:t>。</w:t>
            </w:r>
          </w:p>
          <w:p>
            <w:pPr>
              <w:pStyle w:val="null3"/>
              <w:ind w:firstLine="480"/>
              <w:jc w:val="both"/>
            </w:pPr>
            <w:r>
              <w:rPr>
                <w:rFonts w:ascii="仿宋_GB2312" w:hAnsi="仿宋_GB2312" w:cs="仿宋_GB2312" w:eastAsia="仿宋_GB2312"/>
                <w:sz w:val="24"/>
              </w:rPr>
              <w:t>2.</w:t>
            </w:r>
            <w:r>
              <w:rPr>
                <w:rFonts w:ascii="仿宋_GB2312" w:hAnsi="仿宋_GB2312" w:cs="仿宋_GB2312" w:eastAsia="仿宋_GB2312"/>
                <w:sz w:val="24"/>
              </w:rPr>
              <w:t>本工程量清单所提供工程项目特征仅表达了主要工程做法，组价时应依据设计图纸、相关图集，结合招标文件，合同条款，技术规范、图纸、答疑纪要等进行组价。</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达到国家及行业现行技术规范标准，符合国家及行业验收合格标准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1.工期：自合同签订之日起50日历天。2.各供应商所有分项报价（与最后磋商报价比例一致）同比例下浮。3.合同签订后，达到付款条件起30日，支付合同总价款的40%；工程全部竣工验收通过后，达到付款条件起 30 日内，支付合同总金额的50.00%；工程审计结束后 ，达到付款条件起30日内，支付合同总金额的 10.00%。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报价函 供应商应提交的相关资格证明材料 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中小企业声明函 供应商应提交的相关资格证明材料 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参与的供应商（联合体）工程的施工单位全部为符合政策要求的中小企业。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年的财务审计报告（成立时间至提交响应文件截止时间不足一年的可提供成立后任意时段的资产负债表）或其基本存款账户开户银行出具的资信证明及基本存款账户开户许可证（基本账户存款信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提供2024年1月至今已缴纳的1个月的纳税证明或完税证明，依法免税的单位应提供相关证明材料。供应商需在项目电子化交易系统中按要求上传相应证明文件并进行电子签章；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1月至今已缴纳的1个月的社会保障资金缴存单据或社保机构开具的社会保险参保缴费情况证明，依法不需要缴纳社会保障资金的单位应提供相关证明材料。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履行合同所必需的设备和专业技术能力</w:t>
            </w:r>
          </w:p>
        </w:tc>
        <w:tc>
          <w:tcPr>
            <w:tcW w:type="dxa" w:w="3322"/>
          </w:tcPr>
          <w:p>
            <w:pPr>
              <w:pStyle w:val="null3"/>
            </w:pPr>
            <w:r>
              <w:rPr>
                <w:rFonts w:ascii="仿宋_GB2312" w:hAnsi="仿宋_GB2312" w:cs="仿宋_GB2312" w:eastAsia="仿宋_GB2312"/>
              </w:rPr>
              <w:t>提供具有履行合同所必需的设备和专业技术能力的承诺。供应商需在项目电子化交易系统中按要求上传相应证明文件并进行电子签章；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前三年无重大违法记录声明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成立时间至提交响应文件截止时间不足三年的可提供成立至今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授权书及被授权人身份证</w:t>
            </w:r>
          </w:p>
        </w:tc>
        <w:tc>
          <w:tcPr>
            <w:tcW w:type="dxa" w:w="3322"/>
          </w:tcPr>
          <w:p>
            <w:pPr>
              <w:pStyle w:val="null3"/>
            </w:pPr>
            <w:r>
              <w:rPr>
                <w:rFonts w:ascii="仿宋_GB2312" w:hAnsi="仿宋_GB2312" w:cs="仿宋_GB2312" w:eastAsia="仿宋_GB2312"/>
              </w:rPr>
              <w:t>法定代表人（单位负责人）授权委托书（附法定代表人（单位负责人）、被授权人身份证复印件及被授权人近三个月在本单位社保缴纳的证明资料）（法定代表人（单位负责人）直接参加的，须提供法定代表人（单位负责人）身份证明书及身份证复印件且与营业执照上信息须一致），非法人单位参照执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供应商具有建设行政主管部门颁发的有效期内的钢结构工程专业承包三级及以上资质，且具备有效的安全生产许可证。供应商需在项目电子化交易系统中按要求上传相应证明文件并进行电子签章；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企业人员资质</w:t>
            </w:r>
          </w:p>
        </w:tc>
        <w:tc>
          <w:tcPr>
            <w:tcW w:type="dxa" w:w="3322"/>
          </w:tcPr>
          <w:p>
            <w:pPr>
              <w:pStyle w:val="null3"/>
            </w:pPr>
            <w:r>
              <w:rPr>
                <w:rFonts w:ascii="仿宋_GB2312" w:hAnsi="仿宋_GB2312" w:cs="仿宋_GB2312" w:eastAsia="仿宋_GB2312"/>
              </w:rPr>
              <w:t>拟派项目经理须具备二级及以上注册建造师证书。专业：建筑工程。补充说明：同时具备有效期内的安全生产考核合格证书（安B证），本单位注册且无在建项目（提供承诺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www.creditchina.gov.cn)”中列入失信被执行人和重大税收违法案件当事人名单的供应商，不得为“中国政府采购网(www.ccgp.gov.cn)”政府采购严重违法失信行为记录名单中被财政部门禁止参加政府采购活动的供应商（采购代理机构查询，节点为响应文件递交截止之时）；</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①单位负责人为同一人或者存在直接控股、管理关系的不同供应商不得参加同一合同项下的政府采购活动。②为本项目提供整体设计、规范编制或者项目管理、监理、检测等服务的供应商，不得再参加该采购项目的其他采购活动；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r>
        <w:tc>
          <w:tcPr>
            <w:tcW w:type="dxa" w:w="831"/>
          </w:tcPr>
          <w:p>
            <w:pPr>
              <w:pStyle w:val="null3"/>
            </w:pPr>
            <w:r>
              <w:rPr>
                <w:rFonts w:ascii="仿宋_GB2312" w:hAnsi="仿宋_GB2312" w:cs="仿宋_GB2312" w:eastAsia="仿宋_GB2312"/>
              </w:rPr>
              <w:t>12</w:t>
            </w:r>
          </w:p>
        </w:tc>
        <w:tc>
          <w:tcPr>
            <w:tcW w:type="dxa" w:w="2492"/>
          </w:tcPr>
          <w:p>
            <w:pPr>
              <w:pStyle w:val="null3"/>
            </w:pPr>
            <w:r>
              <w:rPr>
                <w:rFonts w:ascii="仿宋_GB2312" w:hAnsi="仿宋_GB2312" w:cs="仿宋_GB2312" w:eastAsia="仿宋_GB2312"/>
              </w:rPr>
              <w:t>中小企业</w:t>
            </w:r>
          </w:p>
        </w:tc>
        <w:tc>
          <w:tcPr>
            <w:tcW w:type="dxa" w:w="3322"/>
          </w:tcPr>
          <w:p>
            <w:pPr>
              <w:pStyle w:val="null3"/>
            </w:pPr>
            <w:r>
              <w:rPr>
                <w:rFonts w:ascii="仿宋_GB2312" w:hAnsi="仿宋_GB2312" w:cs="仿宋_GB2312" w:eastAsia="仿宋_GB2312"/>
              </w:rPr>
              <w:t>本合同包为专门面向中小企业采购（提供中小企业声明函或监狱企业的证明文件或残疾人福利性单位声明函）。供应商需在项目电子化交易系统中按要求上传相应证明文件并进行电子签章；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中小企业声明函 残疾人福利性单位声明函 报价函 供应商应提交的相关资格证明材料 供应商资格证明文件.docx 响应函 监狱企业的证明文件</w:t>
            </w:r>
          </w:p>
        </w:tc>
      </w:tr>
      <w:tr>
        <w:tc>
          <w:tcPr>
            <w:tcW w:type="dxa" w:w="831"/>
          </w:tcPr>
          <w:p>
            <w:pPr>
              <w:pStyle w:val="null3"/>
            </w:pPr>
            <w:r>
              <w:rPr>
                <w:rFonts w:ascii="仿宋_GB2312" w:hAnsi="仿宋_GB2312" w:cs="仿宋_GB2312" w:eastAsia="仿宋_GB2312"/>
              </w:rPr>
              <w:t>13</w:t>
            </w:r>
          </w:p>
        </w:tc>
        <w:tc>
          <w:tcPr>
            <w:tcW w:type="dxa" w:w="2492"/>
          </w:tcPr>
          <w:p>
            <w:pPr>
              <w:pStyle w:val="null3"/>
            </w:pPr>
            <w:r>
              <w:rPr>
                <w:rFonts w:ascii="仿宋_GB2312" w:hAnsi="仿宋_GB2312" w:cs="仿宋_GB2312" w:eastAsia="仿宋_GB2312"/>
              </w:rPr>
              <w:t>是否接受联合体投标</w:t>
            </w:r>
          </w:p>
        </w:tc>
        <w:tc>
          <w:tcPr>
            <w:tcW w:type="dxa" w:w="3322"/>
          </w:tcPr>
          <w:p>
            <w:pPr>
              <w:pStyle w:val="null3"/>
            </w:pPr>
            <w:r>
              <w:rPr>
                <w:rFonts w:ascii="仿宋_GB2312" w:hAnsi="仿宋_GB2312" w:cs="仿宋_GB2312" w:eastAsia="仿宋_GB2312"/>
              </w:rPr>
              <w:t>本项目不接受联合体投标，供应商需在项目电子化交易系统中按要求上传相应证明文件并进行电子签章。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报价函 供应商应提交的相关资格证明材料 供应商资格证明文件.docx 响应函</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报价函 标的清单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至少以下三处的项目名称、项目编号、标段与本项目完全一致： （1）竞争性磋商响应文件封面 （2）响应函 （3）法定代表人（主要负责人）委托授权书\身份证明</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竞争性磋商响应文件组成</w:t>
            </w:r>
          </w:p>
        </w:tc>
        <w:tc>
          <w:tcPr>
            <w:tcW w:type="dxa" w:w="3322"/>
          </w:tcPr>
          <w:p>
            <w:pPr>
              <w:pStyle w:val="null3"/>
            </w:pPr>
            <w:r>
              <w:rPr>
                <w:rFonts w:ascii="仿宋_GB2312" w:hAnsi="仿宋_GB2312" w:cs="仿宋_GB2312" w:eastAsia="仿宋_GB2312"/>
              </w:rPr>
              <w:t>竞争性磋商响应文件应包含竞争性磋商文件要求的所有内容</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签章或盖章</w:t>
            </w:r>
          </w:p>
        </w:tc>
        <w:tc>
          <w:tcPr>
            <w:tcW w:type="dxa" w:w="3322"/>
          </w:tcPr>
          <w:p>
            <w:pPr>
              <w:pStyle w:val="null3"/>
            </w:pPr>
            <w:r>
              <w:rPr>
                <w:rFonts w:ascii="仿宋_GB2312" w:hAnsi="仿宋_GB2312" w:cs="仿宋_GB2312" w:eastAsia="仿宋_GB2312"/>
              </w:rPr>
              <w:t>签章或盖章符合竞争性磋商文件要求，且无遗漏</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语言和计量单位</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符合竞争性磋商文件的要求</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同时满足以下条款： （1）货币单位符合竞争性磋商文件要求 （2）报价符合唯一性要求 （3）未超出采购预算或最高限价</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实质性条款响应</w:t>
            </w:r>
          </w:p>
        </w:tc>
        <w:tc>
          <w:tcPr>
            <w:tcW w:type="dxa" w:w="3322"/>
          </w:tcPr>
          <w:p>
            <w:pPr>
              <w:pStyle w:val="null3"/>
            </w:pPr>
            <w:r>
              <w:rPr>
                <w:rFonts w:ascii="仿宋_GB2312" w:hAnsi="仿宋_GB2312" w:cs="仿宋_GB2312" w:eastAsia="仿宋_GB2312"/>
              </w:rPr>
              <w:t>完全响应竞争性磋商文件要求的各项技术（服务）、商务实质性条款</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完全理解并响应竞争性磋商文件合同条款的要求，且未含有采购人不能接受的附加条件</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完全理解并接受法律法规和竞争性磋商文件对供应商合法经营的各类规约和责任义务要求，没有出现法律法规或竞争性磋商文件规定的其他无效情形</w:t>
            </w:r>
          </w:p>
        </w:tc>
        <w:tc>
          <w:tcPr>
            <w:tcW w:type="dxa" w:w="1661"/>
          </w:tcPr>
          <w:p>
            <w:pPr>
              <w:pStyle w:val="null3"/>
            </w:pPr>
            <w:r>
              <w:rPr>
                <w:rFonts w:ascii="仿宋_GB2312" w:hAnsi="仿宋_GB2312" w:cs="仿宋_GB2312" w:eastAsia="仿宋_GB2312"/>
              </w:rPr>
              <w:t>已标价工程量清单 中小企业声明函 技术服务合同条款及其他商务要求应答表 供应商应提交的相关资格证明材料 强制优先采购产品承诺函 响应文件封面 项目管理机构组成表 供应商认为有必要补充说明的事项.docx 残疾人福利性单位声明函 施工方案.docx 供应商类似项目业绩一览表 供应商资格证明文件.docx 响应函 主要人员简历表 监狱企业的证明文件</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节能、环保产品</w:t>
            </w:r>
          </w:p>
        </w:tc>
        <w:tc>
          <w:tcPr>
            <w:tcW w:type="dxa" w:w="2492"/>
          </w:tcPr>
          <w:p>
            <w:pPr>
              <w:pStyle w:val="null3"/>
            </w:pPr>
            <w:r>
              <w:rPr>
                <w:rFonts w:ascii="仿宋_GB2312" w:hAnsi="仿宋_GB2312" w:cs="仿宋_GB2312" w:eastAsia="仿宋_GB2312"/>
              </w:rPr>
              <w:t>供应商提供的投标产品中每有一项为节能产品（非强制类）经国家认证的得0.5分，每有一项为环境标志产品经国家认证的得0.5分，供应商投标产品中每有一项产品同时为节能产品和环境标志产品得1分，最多得2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施工方案</w:t>
            </w:r>
          </w:p>
        </w:tc>
        <w:tc>
          <w:tcPr>
            <w:tcW w:type="dxa" w:w="2492"/>
          </w:tcPr>
          <w:p>
            <w:pPr>
              <w:pStyle w:val="null3"/>
            </w:pPr>
            <w:r>
              <w:rPr>
                <w:rFonts w:ascii="仿宋_GB2312" w:hAnsi="仿宋_GB2312" w:cs="仿宋_GB2312" w:eastAsia="仿宋_GB2312"/>
              </w:rPr>
              <w:t>评审内容：①项目目标理解；②项目整体施工方案；③施工保障措施；④专项技术方案（含主要施工方法、组织措施、检验手段等）。 评审依据：每一项内容描述详细，切实可行符合项目实际内容得3分，①～④项合计得12分。内容①～④项任意一项缺项扣3分；内容①～④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施工进度计划安排</w:t>
            </w:r>
          </w:p>
        </w:tc>
        <w:tc>
          <w:tcPr>
            <w:tcW w:type="dxa" w:w="2492"/>
          </w:tcPr>
          <w:p>
            <w:pPr>
              <w:pStyle w:val="null3"/>
            </w:pPr>
            <w:r>
              <w:rPr>
                <w:rFonts w:ascii="仿宋_GB2312" w:hAnsi="仿宋_GB2312" w:cs="仿宋_GB2312" w:eastAsia="仿宋_GB2312"/>
              </w:rPr>
              <w:t>评审内容：①分析本项目进度目标及关键节点；②针对关键节点、具体环节提出相应进度保障措施；③根据本项目的工期要求，提供全面的确保工程按期按质完成的进度计划安排。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工程质量保证措施</w:t>
            </w:r>
          </w:p>
        </w:tc>
        <w:tc>
          <w:tcPr>
            <w:tcW w:type="dxa" w:w="2492"/>
          </w:tcPr>
          <w:p>
            <w:pPr>
              <w:pStyle w:val="null3"/>
            </w:pPr>
            <w:r>
              <w:rPr>
                <w:rFonts w:ascii="仿宋_GB2312" w:hAnsi="仿宋_GB2312" w:cs="仿宋_GB2312" w:eastAsia="仿宋_GB2312"/>
              </w:rPr>
              <w:t>评审内容：①针对本项目制定切实可行的总体质量控制目标；②对质量控制目标进行合理分解、规划，确保本项目质量标准符合相关标准；③ 提供针对本项目的工程质量保证措施。评审依据：每一项内容描述详细，切实可行符合项目实际内容得3分，①～③项合计得9分。内容①～③项任意一项缺项扣3分；内容①～③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施工应急预案</w:t>
            </w:r>
          </w:p>
        </w:tc>
        <w:tc>
          <w:tcPr>
            <w:tcW w:type="dxa" w:w="2492"/>
          </w:tcPr>
          <w:p>
            <w:pPr>
              <w:pStyle w:val="null3"/>
            </w:pPr>
            <w:r>
              <w:rPr>
                <w:rFonts w:ascii="仿宋_GB2312" w:hAnsi="仿宋_GB2312" w:cs="仿宋_GB2312" w:eastAsia="仿宋_GB2312"/>
              </w:rPr>
              <w:t>评审内容：①项目实施的重点、难点进行分析；②针对重点、难点编制应急预案。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安全文明施工措施</w:t>
            </w:r>
          </w:p>
        </w:tc>
        <w:tc>
          <w:tcPr>
            <w:tcW w:type="dxa" w:w="2492"/>
          </w:tcPr>
          <w:p>
            <w:pPr>
              <w:pStyle w:val="null3"/>
            </w:pPr>
            <w:r>
              <w:rPr>
                <w:rFonts w:ascii="仿宋_GB2312" w:hAnsi="仿宋_GB2312" w:cs="仿宋_GB2312" w:eastAsia="仿宋_GB2312"/>
              </w:rPr>
              <w:t>评审内容：①针对工程环境、特点分析安全隐患；②给出有针对性的安全生产、文明施工、环保施工、防尘降噪等保证措施。 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项目管理机构</w:t>
            </w:r>
          </w:p>
        </w:tc>
        <w:tc>
          <w:tcPr>
            <w:tcW w:type="dxa" w:w="2492"/>
          </w:tcPr>
          <w:p>
            <w:pPr>
              <w:pStyle w:val="null3"/>
            </w:pPr>
            <w:r>
              <w:rPr>
                <w:rFonts w:ascii="仿宋_GB2312" w:hAnsi="仿宋_GB2312" w:cs="仿宋_GB2312" w:eastAsia="仿宋_GB2312"/>
              </w:rPr>
              <w:t>评审内容：①项目管理机构人员岗位设置情况；②各岗位专业技术能力情况。评审依据：每一项内容描述详细，切实可行符合项目实际内容得3分，①～②项合计得6分。内容①～②项任意一项缺项扣3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劳动力和材料投入计划</w:t>
            </w:r>
          </w:p>
        </w:tc>
        <w:tc>
          <w:tcPr>
            <w:tcW w:type="dxa" w:w="2492"/>
          </w:tcPr>
          <w:p>
            <w:pPr>
              <w:pStyle w:val="null3"/>
            </w:pPr>
            <w:r>
              <w:rPr>
                <w:rFonts w:ascii="仿宋_GB2312" w:hAnsi="仿宋_GB2312" w:cs="仿宋_GB2312" w:eastAsia="仿宋_GB2312"/>
              </w:rPr>
              <w:t>评审内容：①供应商针对本项目提供详细的劳动力和材料投入计划；②供应商针对本项目提供详细的劳动力和材料保证措施。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机械设备投入计划</w:t>
            </w:r>
          </w:p>
        </w:tc>
        <w:tc>
          <w:tcPr>
            <w:tcW w:type="dxa" w:w="2492"/>
          </w:tcPr>
          <w:p>
            <w:pPr>
              <w:pStyle w:val="null3"/>
            </w:pPr>
            <w:r>
              <w:rPr>
                <w:rFonts w:ascii="仿宋_GB2312" w:hAnsi="仿宋_GB2312" w:cs="仿宋_GB2312" w:eastAsia="仿宋_GB2312"/>
              </w:rPr>
              <w:t>评审内容：①机械设备投入计划；②机械设备的使用情况。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现场施工扬尘环境治理管理措施</w:t>
            </w:r>
          </w:p>
        </w:tc>
        <w:tc>
          <w:tcPr>
            <w:tcW w:type="dxa" w:w="2492"/>
          </w:tcPr>
          <w:p>
            <w:pPr>
              <w:pStyle w:val="null3"/>
            </w:pPr>
            <w:r>
              <w:rPr>
                <w:rFonts w:ascii="仿宋_GB2312" w:hAnsi="仿宋_GB2312" w:cs="仿宋_GB2312" w:eastAsia="仿宋_GB2312"/>
              </w:rPr>
              <w:t>评审内容：①分析现场施工扬尘的产生情况；②现场施工扬尘环境治理管理措施。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供应商自2022年6月以来承担过类似项目业绩。（以合同签订日期或中标通知书签署日期为准)；提供一项业绩得4分，最高得4分。须提供合同或中标通知书复印件并加盖公章，不提供不得分。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供应商认为有必要补充说明的事项.docx</w:t>
            </w:r>
          </w:p>
          <w:p>
            <w:pPr>
              <w:pStyle w:val="null3"/>
            </w:pPr>
            <w:r>
              <w:rPr>
                <w:rFonts w:ascii="仿宋_GB2312" w:hAnsi="仿宋_GB2312" w:cs="仿宋_GB2312" w:eastAsia="仿宋_GB2312"/>
              </w:rPr>
              <w:t>施工方案.docx</w:t>
            </w:r>
          </w:p>
        </w:tc>
      </w:tr>
      <w:tr>
        <w:tc>
          <w:tcPr>
            <w:tcW w:type="dxa" w:w="831"/>
            <w:vMerge/>
          </w:tcPr>
          <w:p/>
        </w:tc>
        <w:tc>
          <w:tcPr>
            <w:tcW w:type="dxa" w:w="1661"/>
          </w:tcPr>
          <w:p>
            <w:pPr>
              <w:pStyle w:val="null3"/>
            </w:pPr>
            <w:r>
              <w:rPr>
                <w:rFonts w:ascii="仿宋_GB2312" w:hAnsi="仿宋_GB2312" w:cs="仿宋_GB2312" w:eastAsia="仿宋_GB2312"/>
              </w:rPr>
              <w:t>保修承诺</w:t>
            </w:r>
          </w:p>
        </w:tc>
        <w:tc>
          <w:tcPr>
            <w:tcW w:type="dxa" w:w="2492"/>
          </w:tcPr>
          <w:p>
            <w:pPr>
              <w:pStyle w:val="null3"/>
            </w:pPr>
            <w:r>
              <w:rPr>
                <w:rFonts w:ascii="仿宋_GB2312" w:hAnsi="仿宋_GB2312" w:cs="仿宋_GB2312" w:eastAsia="仿宋_GB2312"/>
              </w:rPr>
              <w:t>评审内容：①针对本项目的保修服务承诺；②针对本项目的优化建议。评审依据：每一项内容描述详细，切实可行符合项目实际内容得2分，①～②项合计得4分。内容①～②项任意一项缺项扣2分；内容①～②项里有一项内容缺陷（缺陷是指：内容不详细具体、条理不清晰、描述过于简单、与项目特点不匹配、凭空编造、出现常识性错误、不可能实现的夸大情形、存在不适用项目实际情况的情形等）扣0.5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供应商类似项目业绩一览表</w:t>
            </w:r>
          </w:p>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强制优先采购产品承诺函</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1.经资格审查、符合性审查合格的竞争性磋商响应文件，其磋商报价为有效磋商报价。 2.满足竞争性磋商文件实质性要求且最后报价最低的供应商的价格为磋商基准价，其价格分为满分30分。 3.磋商报价得分=（磋商基准价/磋商评审价）×30%*100的公式计算得分。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施工方案.docx</w:t>
            </w:r>
          </w:p>
          <w:p>
            <w:pPr>
              <w:pStyle w:val="null3"/>
            </w:pPr>
            <w:r>
              <w:rPr>
                <w:rFonts w:ascii="仿宋_GB2312" w:hAnsi="仿宋_GB2312" w:cs="仿宋_GB2312" w:eastAsia="仿宋_GB2312"/>
              </w:rPr>
              <w:t>供应商认为有必要补充说明的事项.docx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详见附件：施工方案.docx</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