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9E704">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14:paraId="68BFF110">
      <w:pPr>
        <w:widowControl/>
        <w:jc w:val="center"/>
        <w:rPr>
          <w:rFonts w:hint="eastAsia" w:ascii="宋体" w:hAnsi="宋体" w:eastAsia="宋体" w:cs="宋体"/>
          <w:b/>
          <w:bCs/>
          <w:color w:val="auto"/>
          <w:kern w:val="0"/>
          <w:sz w:val="36"/>
          <w:szCs w:val="36"/>
        </w:rPr>
      </w:pPr>
    </w:p>
    <w:p w14:paraId="07540170">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14:paraId="5EC5ED69">
      <w:pPr>
        <w:widowControl/>
        <w:ind w:firstLine="200"/>
        <w:jc w:val="center"/>
        <w:rPr>
          <w:rFonts w:hint="eastAsia" w:ascii="宋体" w:hAnsi="宋体" w:eastAsia="宋体" w:cs="宋体"/>
          <w:b/>
          <w:bCs/>
          <w:color w:val="auto"/>
          <w:kern w:val="0"/>
          <w:sz w:val="32"/>
          <w:szCs w:val="32"/>
        </w:rPr>
      </w:pPr>
    </w:p>
    <w:p w14:paraId="7F32E04B">
      <w:pPr>
        <w:widowControl/>
        <w:ind w:firstLine="200"/>
        <w:jc w:val="center"/>
        <w:rPr>
          <w:rFonts w:hint="eastAsia" w:ascii="宋体" w:hAnsi="宋体" w:eastAsia="宋体" w:cs="宋体"/>
          <w:b/>
          <w:bCs/>
          <w:color w:val="auto"/>
          <w:kern w:val="0"/>
          <w:sz w:val="32"/>
          <w:szCs w:val="32"/>
        </w:rPr>
      </w:pPr>
    </w:p>
    <w:p w14:paraId="5C888457">
      <w:pPr>
        <w:widowControl/>
        <w:ind w:firstLine="200"/>
        <w:jc w:val="center"/>
        <w:rPr>
          <w:rFonts w:hint="eastAsia" w:ascii="宋体" w:hAnsi="宋体" w:eastAsia="宋体" w:cs="宋体"/>
          <w:b/>
          <w:bCs/>
          <w:color w:val="auto"/>
          <w:kern w:val="0"/>
          <w:sz w:val="32"/>
          <w:szCs w:val="32"/>
        </w:rPr>
      </w:pPr>
    </w:p>
    <w:p w14:paraId="5BB28559">
      <w:pPr>
        <w:pStyle w:val="7"/>
        <w:rPr>
          <w:rFonts w:hint="eastAsia" w:ascii="宋体" w:hAnsi="宋体" w:eastAsia="宋体" w:cs="宋体"/>
          <w:b/>
          <w:bCs/>
          <w:color w:val="auto"/>
          <w:kern w:val="0"/>
          <w:sz w:val="32"/>
          <w:szCs w:val="32"/>
        </w:rPr>
      </w:pPr>
    </w:p>
    <w:p w14:paraId="42FC4D8E">
      <w:pPr>
        <w:pStyle w:val="7"/>
        <w:rPr>
          <w:rFonts w:hint="eastAsia" w:ascii="宋体" w:hAnsi="宋体" w:eastAsia="宋体" w:cs="宋体"/>
          <w:b/>
          <w:bCs/>
          <w:color w:val="auto"/>
          <w:kern w:val="0"/>
          <w:sz w:val="32"/>
          <w:szCs w:val="32"/>
        </w:rPr>
      </w:pPr>
    </w:p>
    <w:p w14:paraId="16DB8DE6">
      <w:pPr>
        <w:pStyle w:val="7"/>
        <w:rPr>
          <w:rFonts w:hint="eastAsia" w:ascii="宋体" w:hAnsi="宋体" w:eastAsia="宋体" w:cs="宋体"/>
          <w:b/>
          <w:bCs/>
          <w:color w:val="auto"/>
          <w:kern w:val="0"/>
          <w:sz w:val="32"/>
          <w:szCs w:val="32"/>
        </w:rPr>
      </w:pPr>
    </w:p>
    <w:p w14:paraId="7D057122">
      <w:pPr>
        <w:widowControl/>
        <w:ind w:firstLine="200"/>
        <w:jc w:val="center"/>
        <w:rPr>
          <w:rFonts w:hint="eastAsia" w:ascii="宋体" w:hAnsi="宋体" w:eastAsia="宋体" w:cs="宋体"/>
          <w:b/>
          <w:bCs/>
          <w:color w:val="auto"/>
          <w:kern w:val="0"/>
          <w:sz w:val="32"/>
          <w:szCs w:val="32"/>
        </w:rPr>
      </w:pPr>
    </w:p>
    <w:p w14:paraId="2B816FA9">
      <w:pPr>
        <w:widowControl/>
        <w:ind w:firstLine="200"/>
        <w:jc w:val="center"/>
        <w:rPr>
          <w:rFonts w:hint="eastAsia" w:ascii="宋体" w:hAnsi="宋体" w:eastAsia="宋体" w:cs="宋体"/>
          <w:b/>
          <w:bCs/>
          <w:color w:val="auto"/>
          <w:kern w:val="0"/>
          <w:sz w:val="32"/>
          <w:szCs w:val="32"/>
        </w:rPr>
      </w:pPr>
    </w:p>
    <w:p w14:paraId="6A180CC5">
      <w:pPr>
        <w:widowControl/>
        <w:ind w:firstLine="200"/>
        <w:jc w:val="center"/>
        <w:rPr>
          <w:rFonts w:hint="eastAsia" w:ascii="宋体" w:hAnsi="宋体" w:eastAsia="宋体" w:cs="宋体"/>
          <w:b/>
          <w:bCs/>
          <w:color w:val="auto"/>
          <w:kern w:val="0"/>
          <w:sz w:val="32"/>
          <w:szCs w:val="32"/>
        </w:rPr>
      </w:pPr>
    </w:p>
    <w:p w14:paraId="6D14A1AD">
      <w:pPr>
        <w:widowControl/>
        <w:ind w:firstLine="200"/>
        <w:jc w:val="center"/>
        <w:rPr>
          <w:rFonts w:hint="eastAsia" w:ascii="宋体" w:hAnsi="宋体" w:eastAsia="宋体" w:cs="宋体"/>
          <w:b/>
          <w:bCs/>
          <w:color w:val="auto"/>
          <w:kern w:val="0"/>
          <w:sz w:val="32"/>
          <w:szCs w:val="32"/>
        </w:rPr>
      </w:pPr>
    </w:p>
    <w:p w14:paraId="38440932">
      <w:pPr>
        <w:widowControl/>
        <w:ind w:firstLine="200"/>
        <w:jc w:val="center"/>
        <w:rPr>
          <w:rFonts w:hint="eastAsia" w:ascii="宋体" w:hAnsi="宋体" w:eastAsia="宋体" w:cs="宋体"/>
          <w:b/>
          <w:bCs/>
          <w:color w:val="auto"/>
          <w:kern w:val="0"/>
          <w:sz w:val="32"/>
          <w:szCs w:val="32"/>
        </w:rPr>
      </w:pPr>
    </w:p>
    <w:p w14:paraId="62A9B454">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30F83D74">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14:paraId="30F83D74">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14:paraId="3D6E1A88">
      <w:pPr>
        <w:widowControl/>
        <w:jc w:val="center"/>
        <w:rPr>
          <w:rFonts w:hint="eastAsia" w:ascii="宋体" w:hAnsi="宋体" w:eastAsia="宋体" w:cs="宋体"/>
          <w:b/>
          <w:bCs/>
          <w:color w:val="auto"/>
          <w:spacing w:val="7"/>
          <w:w w:val="96"/>
          <w:kern w:val="0"/>
          <w:sz w:val="36"/>
          <w:szCs w:val="36"/>
        </w:rPr>
      </w:pPr>
    </w:p>
    <w:p w14:paraId="03AFE7F4">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14:paraId="623D6C87">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14:paraId="025167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Cs w:val="21"/>
        </w:rPr>
        <w:br w:type="page"/>
      </w:r>
      <w:r>
        <w:rPr>
          <w:rFonts w:hint="eastAsia" w:ascii="宋体" w:hAnsi="宋体" w:eastAsia="宋体" w:cs="宋体"/>
          <w:b/>
          <w:color w:val="auto"/>
          <w:sz w:val="21"/>
          <w:szCs w:val="21"/>
        </w:rPr>
        <w:t>第一部分  协议书</w:t>
      </w:r>
    </w:p>
    <w:p w14:paraId="08B23A3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发包人：</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lang w:val="en-US" w:eastAsia="zh-CN"/>
        </w:rPr>
        <w:t xml:space="preserve"> </w:t>
      </w:r>
    </w:p>
    <w:p w14:paraId="2E861B2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14:paraId="7BB6E6E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14:paraId="2EFA8937">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14:paraId="0CDD891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cs="宋体"/>
          <w:color w:val="auto"/>
          <w:kern w:val="0"/>
          <w:sz w:val="21"/>
          <w:szCs w:val="21"/>
          <w:u w:val="single"/>
          <w:lang w:eastAsia="zh-CN"/>
        </w:rPr>
        <w:t>校园设施及教室维修改造项目</w:t>
      </w:r>
      <w:r>
        <w:rPr>
          <w:rFonts w:hint="eastAsia" w:ascii="宋体" w:hAnsi="宋体" w:eastAsia="宋体" w:cs="宋体"/>
          <w:b/>
          <w:color w:val="auto"/>
          <w:kern w:val="0"/>
          <w:sz w:val="21"/>
          <w:szCs w:val="21"/>
          <w:u w:val="single"/>
          <w:lang w:eastAsia="zh-CN"/>
        </w:rPr>
        <w:t xml:space="preserve">  </w:t>
      </w:r>
    </w:p>
    <w:p w14:paraId="75A97E5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u w:val="single"/>
          <w:lang w:eastAsia="zh-CN"/>
        </w:rPr>
        <w:t>西安市新城区筑梦幼儿园</w:t>
      </w:r>
      <w:r>
        <w:rPr>
          <w:rFonts w:hint="eastAsia" w:ascii="宋体" w:hAnsi="宋体" w:cs="宋体"/>
          <w:color w:val="auto"/>
          <w:kern w:val="0"/>
          <w:sz w:val="21"/>
          <w:szCs w:val="21"/>
          <w:u w:val="single"/>
          <w:lang w:val="en-US" w:eastAsia="zh-CN"/>
        </w:rPr>
        <w:t>校内</w:t>
      </w:r>
      <w:r>
        <w:rPr>
          <w:rFonts w:hint="eastAsia" w:ascii="宋体" w:hAnsi="宋体" w:eastAsia="宋体" w:cs="宋体"/>
          <w:color w:val="auto"/>
          <w:sz w:val="21"/>
          <w:szCs w:val="21"/>
          <w:u w:val="single"/>
          <w:lang w:val="en-US" w:eastAsia="zh-CN"/>
        </w:rPr>
        <w:t xml:space="preserve"> </w:t>
      </w:r>
    </w:p>
    <w:p w14:paraId="0A4ECB8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工程规模：</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p>
    <w:p w14:paraId="4849ACC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p>
    <w:p w14:paraId="67ADC6B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lang w:val="en-US" w:eastAsia="zh-CN"/>
        </w:rPr>
        <w:t>财政资金</w:t>
      </w:r>
      <w:r>
        <w:rPr>
          <w:rFonts w:hint="eastAsia" w:ascii="宋体" w:hAnsi="宋体" w:eastAsia="宋体" w:cs="宋体"/>
          <w:color w:val="auto"/>
          <w:sz w:val="21"/>
          <w:szCs w:val="21"/>
        </w:rPr>
        <w:t xml:space="preserve"> </w:t>
      </w:r>
    </w:p>
    <w:p w14:paraId="56817A7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14:paraId="2F3FBE7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p>
    <w:p w14:paraId="27D3490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14:paraId="667E429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14:paraId="63D7A9E6">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p>
    <w:p w14:paraId="0B74622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14:paraId="03908EA8">
      <w:pPr>
        <w:keepNext w:val="0"/>
        <w:keepLines w:val="0"/>
        <w:pageBreakBefore w:val="0"/>
        <w:kinsoku/>
        <w:wordWrap/>
        <w:overflowPunct/>
        <w:topLinePunct w:val="0"/>
        <w:autoSpaceDE/>
        <w:autoSpaceDN/>
        <w:bidi w:val="0"/>
        <w:adjustRightInd/>
        <w:snapToGrid/>
        <w:spacing w:before="120" w:beforeLines="50" w:after="120" w:afterLines="50" w:line="348" w:lineRule="auto"/>
        <w:ind w:left="420" w:leftChars="200" w:firstLine="0" w:firstLineChars="0"/>
        <w:textAlignment w:val="auto"/>
        <w:rPr>
          <w:rFonts w:hint="eastAsia"/>
        </w:rPr>
      </w:pPr>
      <w:r>
        <w:rPr>
          <w:rFonts w:hint="eastAsia" w:ascii="宋体" w:hAnsi="宋体" w:eastAsia="宋体" w:cs="宋体"/>
          <w:color w:val="000000" w:themeColor="text1"/>
          <w:sz w:val="21"/>
          <w:szCs w:val="21"/>
          <w14:textFill>
            <w14:solidFill>
              <w14:schemeClr w14:val="tx1"/>
            </w14:solidFill>
          </w14:textFill>
        </w:rPr>
        <w:t>合同工期</w:t>
      </w:r>
      <w:r>
        <w:rPr>
          <w:rFonts w:hint="eastAsia" w:ascii="宋体" w:hAnsi="宋体" w:eastAsia="宋体" w:cs="宋体"/>
          <w:color w:val="000000" w:themeColor="text1"/>
          <w:sz w:val="21"/>
          <w:szCs w:val="21"/>
          <w:lang w:eastAsia="zh-CN"/>
          <w14:textFill>
            <w14:solidFill>
              <w14:schemeClr w14:val="tx1"/>
            </w14:solidFill>
          </w14:textFill>
        </w:rPr>
        <w:t>：</w:t>
      </w:r>
      <w:bookmarkStart w:id="25" w:name="_GoBack"/>
      <w:bookmarkEnd w:id="25"/>
      <w:r>
        <w:rPr>
          <w:rFonts w:hint="eastAsia" w:ascii="宋体" w:hAnsi="宋体" w:cs="宋体"/>
          <w:color w:val="000000" w:themeColor="text1"/>
          <w:sz w:val="21"/>
          <w:szCs w:val="21"/>
          <w:lang w:eastAsia="zh-CN"/>
          <w14:textFill>
            <w14:solidFill>
              <w14:schemeClr w14:val="tx1"/>
            </w14:solidFill>
          </w14:textFill>
        </w:rPr>
        <w:t>施工合同签订之日起40个日历天内完成。</w:t>
      </w:r>
    </w:p>
    <w:p w14:paraId="2400355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14:paraId="6B26246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按国家有关验收规范和验评标准，工程质量达到合格标准</w:t>
      </w:r>
      <w:r>
        <w:rPr>
          <w:rFonts w:hint="eastAsia" w:ascii="宋体" w:hAnsi="宋体" w:eastAsia="宋体" w:cs="宋体"/>
          <w:b/>
          <w:color w:val="auto"/>
          <w:sz w:val="21"/>
          <w:szCs w:val="21"/>
          <w:u w:val="single"/>
        </w:rPr>
        <w:t>。</w:t>
      </w:r>
    </w:p>
    <w:p w14:paraId="2CB2FCD6">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14:paraId="2CA2C44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14:paraId="61881D8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6E625110">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5A99882A">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14:paraId="690FA2A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14:paraId="55FD528D">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14:paraId="4E6BCD5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14:paraId="5391B28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14:paraId="3AFB865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14:paraId="72DADB7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14:paraId="2CECBAB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14:paraId="120CF3F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14:paraId="3BDAC729">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14:paraId="2680F57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14:paraId="08D64D57">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14:paraId="587BED3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14:paraId="7883DFBE">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14:paraId="5A8FF4B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14:paraId="71474F3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14:paraId="778B76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14:paraId="15D7BBF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202</w:t>
      </w:r>
      <w:r>
        <w:rPr>
          <w:rFonts w:hint="eastAsia" w:ascii="宋体" w:hAnsi="宋体" w:cs="宋体"/>
          <w:b/>
          <w:color w:val="auto"/>
          <w:sz w:val="21"/>
          <w:szCs w:val="21"/>
          <w:u w:val="single"/>
          <w:lang w:val="en-US" w:eastAsia="zh-CN"/>
        </w:rPr>
        <w:t>5</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14:paraId="18E8F2DE">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14:paraId="61464D9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14:paraId="760AB91F">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0E06D168">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14:paraId="26E3A39D">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14:paraId="56FCC3F9">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14:paraId="3555A7C1">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2E6B06DE">
      <w:pPr>
        <w:pStyle w:val="10"/>
        <w:rPr>
          <w:rFonts w:hint="eastAsia" w:ascii="宋体" w:hAnsi="宋体" w:eastAsia="宋体" w:cs="宋体"/>
          <w:color w:val="auto"/>
          <w:sz w:val="21"/>
          <w:szCs w:val="21"/>
        </w:rPr>
      </w:pPr>
    </w:p>
    <w:p w14:paraId="70E7A3E9">
      <w:pPr>
        <w:pStyle w:val="10"/>
        <w:rPr>
          <w:rFonts w:hint="eastAsia" w:ascii="宋体" w:hAnsi="宋体" w:eastAsia="宋体" w:cs="宋体"/>
          <w:color w:val="auto"/>
          <w:sz w:val="21"/>
          <w:szCs w:val="21"/>
        </w:rPr>
      </w:pPr>
    </w:p>
    <w:p w14:paraId="10DC29BB">
      <w:pPr>
        <w:pStyle w:val="10"/>
        <w:rPr>
          <w:rFonts w:hint="eastAsia" w:ascii="宋体" w:hAnsi="宋体" w:eastAsia="宋体" w:cs="宋体"/>
          <w:color w:val="auto"/>
          <w:sz w:val="21"/>
          <w:szCs w:val="21"/>
        </w:rPr>
      </w:pPr>
    </w:p>
    <w:p w14:paraId="6F2AE7D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0FD93F93">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14:paraId="02EE692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14:paraId="3F15632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145989451"/>
      <w:bookmarkStart w:id="1" w:name="_Toc405650405"/>
      <w:bookmarkStart w:id="2" w:name="_Toc375047925"/>
      <w:bookmarkStart w:id="3" w:name="_Toc221523525"/>
      <w:bookmarkStart w:id="4" w:name="_Toc14264"/>
      <w:bookmarkStart w:id="5" w:name="_Toc332783777"/>
      <w:bookmarkStart w:id="6" w:name="_Toc405800291"/>
      <w:bookmarkStart w:id="7" w:name="_Toc405821142"/>
      <w:bookmarkStart w:id="8" w:name="_Toc298261382"/>
      <w:bookmarkStart w:id="9" w:name="_Toc405653341"/>
      <w:bookmarkStart w:id="10" w:name="_Toc368069058"/>
      <w:bookmarkStart w:id="11" w:name="_Toc332318717"/>
      <w:bookmarkStart w:id="12" w:name="_Toc169940957"/>
      <w:r>
        <w:rPr>
          <w:rFonts w:hint="eastAsia" w:ascii="宋体" w:hAnsi="宋体" w:eastAsia="宋体" w:cs="宋体"/>
          <w:b/>
          <w:color w:val="auto"/>
          <w:sz w:val="21"/>
          <w:szCs w:val="21"/>
        </w:rPr>
        <w:t>一、词语定义及合同文件</w:t>
      </w:r>
    </w:p>
    <w:p w14:paraId="6EAC4F1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14:paraId="2C355EB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14:paraId="46C6F7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14:paraId="221EA7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14:paraId="23D2C2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14:paraId="7C4BCC5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14:paraId="36AC17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14:paraId="1304A3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14:paraId="4FAAF0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14:paraId="010F2D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14:paraId="10BA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14:paraId="077AD2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14:paraId="7914C0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14:paraId="74147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14:paraId="0E57AF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14:paraId="16971A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14:paraId="3792FE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14:paraId="73F848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14:paraId="687D0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14:paraId="07C6D1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14:paraId="605342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14:paraId="568B464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14:paraId="10F3D3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14:paraId="0FEAF2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14:paraId="08103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14:paraId="70AE90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14:paraId="67892E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14:paraId="50C071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14:paraId="2EF8D3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14:paraId="32827C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14:paraId="5CBE10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9AD77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14:paraId="4BFB1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14:paraId="1B2876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14:paraId="1BAC58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14:paraId="40A756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14:paraId="17C05F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187400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14:paraId="50A05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14:paraId="43A573C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14:paraId="31596E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14:paraId="685E64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14:paraId="36C4BC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5478B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14:paraId="4EA42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14:paraId="4BE747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14:paraId="1CB8584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14:paraId="77A2E3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14:paraId="7EEA06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14:paraId="2D154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AB056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0A36882">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14:paraId="4E1118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14:paraId="73FB109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3C92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14:paraId="309571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14:paraId="584D827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0BE32E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14:paraId="42EAB2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14:paraId="476DEB6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698A0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0D2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6C542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14:paraId="60790B8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14:paraId="449A198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14:paraId="70B02E6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9C04E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8499B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14:paraId="24B052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89FE2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0B661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14:paraId="6110D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D91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14:paraId="1CCADF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14:paraId="715081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14:paraId="31FA6C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14:paraId="0CA2BB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F446A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14:paraId="0BBAA05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14:paraId="1E1F28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14:paraId="09C0E9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14:paraId="4BD6E3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14:paraId="787C39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14:paraId="5D94D9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14:paraId="468B3E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14:paraId="3CC0CE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14:paraId="1F4F9E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14:paraId="1DBE36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14:paraId="5D9328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14:paraId="26649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14:paraId="03DEFA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14:paraId="354644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14:paraId="14A7693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14:paraId="5392F4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14:paraId="2DD5DB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14:paraId="6E264F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14:paraId="26B69FA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14:paraId="78D4EF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14:paraId="7573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14:paraId="27C10E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2B154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14:paraId="66A19F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14:paraId="095C27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14:paraId="1051D1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14:paraId="24FDB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5B161A8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14:paraId="46B2EC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14:paraId="68D5F2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14:paraId="2BA60E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DFF0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14:paraId="420805C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B10091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14:paraId="0327FC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14:paraId="5B6CC4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F1A7C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14:paraId="2B7182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14:paraId="5E407B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14:paraId="2F8FC8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14:paraId="6ABB08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14:paraId="316B7C3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14:paraId="1B6E53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14:paraId="3A0D3D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14:paraId="0D248F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14:paraId="46B0637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14:paraId="68C4E5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14:paraId="3F59FF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14:paraId="75EE41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14:paraId="2CC520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950E7F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14:paraId="66287E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14:paraId="1249FFE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14:paraId="566F10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14:paraId="306AEE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14:paraId="1DC8F6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14:paraId="239D09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9E6E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621842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14:paraId="501384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14:paraId="7646E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90BF9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D000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14:paraId="3D49E3F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14:paraId="6CC80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288A5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14:paraId="216F5C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14:paraId="299FD1D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E5C84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14:paraId="675C7B8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4A0B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14:paraId="4A227DC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14:paraId="0DBB6E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338AA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14:paraId="33E4F3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14:paraId="7F8091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14:paraId="575152D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14:paraId="2D6639A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14:paraId="6C6EDC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14:paraId="2E42B2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14:paraId="14070E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14:paraId="6E19A3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9AF07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14:paraId="4DB29F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14:paraId="519BBD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14:paraId="00C34E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14:paraId="049629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D51BE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14:paraId="716D4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14:paraId="5B41FC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8029B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C5125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14:paraId="0CE837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14:paraId="63CBB7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14:paraId="7E4F5C2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155C95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14:paraId="1E3D69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14:paraId="20A8072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14:paraId="7193FEA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14:paraId="5C5ADB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14:paraId="705873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234F53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14:paraId="741347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14:paraId="5C15AE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14:paraId="19D61EF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14:paraId="47BDBB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14:paraId="1B714C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14:paraId="08AF8F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14:paraId="43C113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14:paraId="6862E8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14:paraId="2F8C8E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14:paraId="4F61BC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49137C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14:paraId="7E379CA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E3B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14:paraId="6000EF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14:paraId="4B30CE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6AAF5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5EEE3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14:paraId="0E171C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14:paraId="6B2B92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14:paraId="6EA2D5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14:paraId="034DBE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14:paraId="44E332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8F3E4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14:paraId="28E1D71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1386ABC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14:paraId="66F8C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14:paraId="337AA7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14:paraId="36FD59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0A1B8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14:paraId="31F5BED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14:paraId="06DBC6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14:paraId="620B7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14:paraId="317E408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14:paraId="4323C9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14:paraId="0DB41C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14:paraId="74011CE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14:paraId="3950F9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14:paraId="05BE86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14:paraId="138D36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14:paraId="1E4662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14:paraId="1EEBD1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14:paraId="6B626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14:paraId="2333F0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14:paraId="77F734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14:paraId="0AA65F2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04312A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14:paraId="1805290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A2251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14:paraId="5C953A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14:paraId="2267A5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14:paraId="750B39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14:paraId="52FA412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14:paraId="1FF2FC3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14:paraId="750649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7DC10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14:paraId="6A2F50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14:paraId="6CFDB2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14:paraId="393B01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14:paraId="6C624A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14:paraId="75B7E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14:paraId="7D0927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14:paraId="7A968C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14:paraId="33DA98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14:paraId="590EE2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14:paraId="29A9C5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14:paraId="2907A1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74FD94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14:paraId="6086AD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14:paraId="1B890F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14:paraId="5652F17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14:paraId="52B41A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14:paraId="18FFB5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14:paraId="0E5F5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14:paraId="1B18EB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14:paraId="6D7094A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14:paraId="1715F1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14:paraId="3A1783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14:paraId="7CEE9B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974A7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14:paraId="3A53E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0332B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14:paraId="7160CC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14:paraId="7C8001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14:paraId="64124B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00D72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3FB14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14:paraId="28C2D4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14:paraId="3AFFE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14:paraId="66FED1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14:paraId="110427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14:paraId="51F5F8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14:paraId="17BD2F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14:paraId="5E8F49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14:paraId="6F2D60D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14:paraId="02A15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14:paraId="4E5FA9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14:paraId="44A6F7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14:paraId="0EAA194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14:paraId="467FBB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14:paraId="6296221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14:paraId="694FC1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14:paraId="0E58026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14:paraId="65B63B2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14:paraId="5AE1921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14:paraId="45BC6E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14:paraId="70B939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14:paraId="02D4F7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14:paraId="1AF92B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14:paraId="65679A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14:paraId="4D9EF9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14:paraId="5402766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14:paraId="777210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14:paraId="4BD4C5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14:paraId="037BFD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14:paraId="64DBDA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14:paraId="5D35AE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14:paraId="241A15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14:paraId="0AB18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B8AFC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14:paraId="01CE34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14:paraId="11F0B00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14:paraId="14FE32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14:paraId="314963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14:paraId="5050A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14:paraId="479E8F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14:paraId="0CC519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C88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14:paraId="256835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14:paraId="6E7EFF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14:paraId="6990EC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14:paraId="2D1C44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14:paraId="4DA1ABD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B7D15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14:paraId="72661B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14:paraId="333A743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14:paraId="0C3182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77A8D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14:paraId="119144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14:paraId="2B42E3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14:paraId="06D6F3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14:paraId="1537D5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49D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14:paraId="4B7728C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14:paraId="5BA48B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14:paraId="460C5D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14:paraId="1FA4B0E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14:paraId="5C12F96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14:paraId="1BAF906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14:paraId="6FE0F9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14:paraId="1E62F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14:paraId="5B93D3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14:paraId="4D4766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14:paraId="54E0B8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14:paraId="48D17D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14:paraId="6D2867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14:paraId="576E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14:paraId="6EC994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14:paraId="04F38A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14:paraId="7F83BA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14:paraId="427731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14:paraId="38527B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14:paraId="7F81B5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14:paraId="29D2C3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14:paraId="667C622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35B051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14:paraId="03FD60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14:paraId="10DA8D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67F4E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14:paraId="656672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0000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14:paraId="4B3DA3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14:paraId="5D94DF0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14:paraId="74F20B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14:paraId="65DFB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14:paraId="61AF77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14:paraId="158C1E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14:paraId="0EFEC7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14:paraId="326BED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71C32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4EFC0B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14:paraId="0E276C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14:paraId="6654D21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14:paraId="4C432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14:paraId="0EDF9D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14:paraId="51C074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14:paraId="152FD3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14:paraId="5F16A9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14:paraId="6BD4A3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14:paraId="2847ED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14:paraId="27BE1E9C">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14:paraId="15BE5D0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14:paraId="6277FEE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14:paraId="39C39A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14:paraId="6C9102B6">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14:paraId="7D2974E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14:paraId="256F11A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14:paraId="3B0E98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14:paraId="177E33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14:paraId="7596093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14:paraId="6A3D6847">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14:paraId="67D0B40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14:paraId="04275C07">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14:paraId="6BC9EF6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14:paraId="55329B8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14:paraId="12CB264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14:paraId="21C45E6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14:paraId="10D7407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14:paraId="636909B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14:paraId="2A0D207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276B389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14:paraId="50DDB7D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14:paraId="4C0EB97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7572A2E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00ED929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14:paraId="5E7077C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70EF99A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14:paraId="47D2AF24">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14:paraId="6C50CEC6">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14:paraId="22FB8F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14:paraId="14E4985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14:paraId="7D12F9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14:paraId="46775BD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14:paraId="56D9A66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14:paraId="6267F38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14:paraId="5A074B2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14:paraId="6FAE4EF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14:paraId="05E96C35">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14:paraId="0BC957B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14:paraId="7A47F09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14:paraId="4B489D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14:paraId="03055BC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14:paraId="2F9141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14:paraId="737C734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14:paraId="3157C40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14:paraId="06E6B076">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14:paraId="7D9FD22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14:paraId="1676B51E">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14:paraId="2CE406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14:paraId="581BB5EF">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14:paraId="08E9C472">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14:paraId="0A16E067">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14:paraId="55946B9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14:paraId="55A0276E">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14:paraId="7A66761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14:paraId="6D078B8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14:paraId="57EC5E6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14:paraId="631BDEFF">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14:paraId="1B11B08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14:paraId="5386A6D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14:paraId="0204EDD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14:paraId="3A2B4BFA">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593C72F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14:paraId="3BFEA6A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14:paraId="67ABCE93">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14:paraId="1A78960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14:paraId="340739B1">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7BDE34E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14:paraId="23DD9B8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14:paraId="5566F66F">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501C27A5">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14:paraId="37D44442">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14:paraId="2C087A10">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14:paraId="3529AB29">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14:paraId="7EF4D89A">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w:t>
      </w:r>
      <w:r>
        <w:rPr>
          <w:rFonts w:hint="eastAsia" w:ascii="宋体" w:hAnsi="宋体" w:cs="宋体"/>
          <w:b/>
          <w:color w:val="auto"/>
          <w:sz w:val="21"/>
          <w:szCs w:val="21"/>
          <w:u w:val="single"/>
          <w:lang w:val="en-US" w:eastAsia="zh-CN"/>
        </w:rPr>
        <w:t>得</w:t>
      </w:r>
      <w:r>
        <w:rPr>
          <w:rFonts w:hint="eastAsia" w:ascii="宋体" w:hAnsi="宋体" w:eastAsia="宋体" w:cs="宋体"/>
          <w:b/>
          <w:color w:val="auto"/>
          <w:sz w:val="21"/>
          <w:szCs w:val="21"/>
          <w:u w:val="single"/>
        </w:rPr>
        <w:t>少于5天，少1天罚款1000元。外出3天以上必须取得总监和发包人的许可。</w:t>
      </w:r>
    </w:p>
    <w:p w14:paraId="4438515E">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3F1DA6D8">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14:paraId="446AD62C">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14:paraId="7829DA0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6D291593">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14:paraId="61358C6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14:paraId="6051425C">
      <w:pPr>
        <w:pStyle w:val="6"/>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14:paraId="34FD353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14:paraId="1171B19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14:paraId="4A080F2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14:paraId="1D96546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14:paraId="669856B2">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14:paraId="3868277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14:paraId="4C9DF3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14:paraId="5690AFB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14:paraId="4BB089F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14:paraId="3150DCCA">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0F22BC5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45B64F1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14:paraId="77EA440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(2)</w:t>
      </w:r>
      <w:r>
        <w:rPr>
          <w:rFonts w:hint="eastAsia" w:ascii="宋体" w:hAnsi="宋体" w:eastAsia="宋体" w:cs="宋体"/>
          <w:color w:val="auto"/>
          <w:kern w:val="0"/>
          <w:sz w:val="21"/>
          <w:szCs w:val="21"/>
        </w:rPr>
        <w:t>方式确定。</w:t>
      </w:r>
    </w:p>
    <w:p w14:paraId="0A05959D">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（1）采用固定总价合同：</w:t>
      </w:r>
    </w:p>
    <w:p w14:paraId="3EFE535B">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eastAsia="宋体" w:cs="宋体"/>
          <w:b/>
          <w:color w:val="auto"/>
          <w:sz w:val="21"/>
          <w:szCs w:val="21"/>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23A728C1">
      <w:pPr>
        <w:keepNext w:val="0"/>
        <w:keepLines w:val="0"/>
        <w:pageBreakBefore w:val="0"/>
        <w:kinsoku/>
        <w:wordWrap/>
        <w:overflowPunct/>
        <w:topLinePunct w:val="0"/>
        <w:autoSpaceDE/>
        <w:autoSpaceDN/>
        <w:bidi w:val="0"/>
        <w:spacing w:line="348" w:lineRule="auto"/>
        <w:ind w:firstLine="316" w:firstLineChars="15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暂定价格（若有时）材料、设备应认质认价，差价（差价只计安全文明施工措施费、规费和税金）由发包人承担。</w:t>
      </w:r>
    </w:p>
    <w:p w14:paraId="3933CAB2">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风险范围以外综合单价调整方法：</w:t>
      </w:r>
      <w:r>
        <w:rPr>
          <w:rFonts w:hint="eastAsia" w:ascii="宋体" w:hAnsi="宋体" w:eastAsia="宋体" w:cs="宋体"/>
          <w:b/>
          <w:color w:val="auto"/>
          <w:sz w:val="21"/>
          <w:szCs w:val="21"/>
          <w:u w:val="single"/>
        </w:rPr>
        <w:t>当主要材料、设备社会价格浮动在投标价格的±5%以外时，应认质认价，差价由发包人承担，人工费依据行政主管部门公布的政策性文件进行执行，</w:t>
      </w:r>
    </w:p>
    <w:p w14:paraId="77D4EE3F">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① 按照合同通用条款第43.3款确定的办法执行。                                                  </w:t>
      </w:r>
    </w:p>
    <w:p w14:paraId="42F7A85E">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② 按照</w:t>
      </w:r>
      <w:r>
        <w:rPr>
          <w:rFonts w:hint="eastAsia" w:ascii="宋体" w:hAnsi="宋体" w:eastAsia="宋体" w:cs="宋体"/>
          <w:b/>
          <w:color w:val="auto"/>
          <w:sz w:val="21"/>
          <w:szCs w:val="21"/>
          <w:u w:val="single"/>
          <w:lang w:eastAsia="zh-CN"/>
        </w:rPr>
        <w:t>磋商文件</w:t>
      </w:r>
      <w:r>
        <w:rPr>
          <w:rFonts w:hint="eastAsia" w:ascii="宋体" w:hAnsi="宋体" w:eastAsia="宋体" w:cs="宋体"/>
          <w:b/>
          <w:color w:val="auto"/>
          <w:sz w:val="21"/>
          <w:szCs w:val="21"/>
          <w:u w:val="single"/>
        </w:rPr>
        <w:t xml:space="preserve">、答疑纪要、设计变更、现场签证、洽商文件、发包人认质认价单及承包人中标综合单价、合同补充条款约定进行调整。 </w:t>
      </w:r>
    </w:p>
    <w:p w14:paraId="434FE83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14:paraId="07B8CF0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rPr>
        <w:t>27、</w:t>
      </w:r>
      <w:r>
        <w:rPr>
          <w:rFonts w:hint="eastAsia" w:ascii="宋体" w:hAnsi="宋体" w:eastAsia="宋体" w:cs="宋体"/>
          <w:b/>
          <w:color w:val="auto"/>
          <w:sz w:val="21"/>
          <w:szCs w:val="21"/>
          <w:highlight w:val="none"/>
        </w:rPr>
        <w:t>合同调整</w:t>
      </w:r>
    </w:p>
    <w:p w14:paraId="0504C865">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27.1双方约定合同价款的调整因素：</w:t>
      </w:r>
      <w:r>
        <w:rPr>
          <w:rFonts w:hint="eastAsia" w:ascii="宋体" w:hAnsi="宋体" w:eastAsia="宋体" w:cs="宋体"/>
          <w:b/>
          <w:color w:val="auto"/>
          <w:sz w:val="21"/>
          <w:szCs w:val="21"/>
          <w:highlight w:val="none"/>
          <w:u w:val="single"/>
        </w:rPr>
        <w:t>按照合同通用条款第27.1款执行。</w:t>
      </w:r>
    </w:p>
    <w:p w14:paraId="600FF3ED">
      <w:pPr>
        <w:keepNext w:val="0"/>
        <w:keepLines w:val="0"/>
        <w:pageBreakBefore w:val="0"/>
        <w:kinsoku/>
        <w:wordWrap/>
        <w:overflowPunct/>
        <w:topLinePunct w:val="0"/>
        <w:autoSpaceDE/>
        <w:autoSpaceDN/>
        <w:bidi w:val="0"/>
        <w:spacing w:line="348" w:lineRule="auto"/>
        <w:ind w:firstLine="420" w:firstLineChars="200"/>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28、工程预付款：</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u w:val="single"/>
          <w:lang w:val="en-US" w:eastAsia="zh-CN"/>
        </w:rPr>
        <w:t>0%</w:t>
      </w:r>
    </w:p>
    <w:p w14:paraId="468FDBA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扣回工程款的时间、比例：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p>
    <w:p w14:paraId="4838319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预付安全防护、文明施工措施费用的比例和时间：</w:t>
      </w:r>
      <w:r>
        <w:rPr>
          <w:rFonts w:hint="eastAsia" w:ascii="宋体" w:hAnsi="宋体" w:eastAsia="宋体" w:cs="宋体"/>
          <w:color w:val="auto"/>
          <w:sz w:val="21"/>
          <w:szCs w:val="21"/>
          <w:highlight w:val="none"/>
          <w:u w:val="single"/>
        </w:rPr>
        <w:t>安全文明措施费在合同签订后，发包人在开工前一次性足额支付给承包人。</w:t>
      </w:r>
    </w:p>
    <w:p w14:paraId="24BBEB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29、工程量确认</w:t>
      </w:r>
    </w:p>
    <w:p w14:paraId="6F06467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29.1承包人向工程师提交已完工程量报告的时间：</w:t>
      </w:r>
      <w:r>
        <w:rPr>
          <w:rFonts w:hint="eastAsia" w:ascii="宋体" w:hAnsi="宋体" w:eastAsia="宋体" w:cs="宋体"/>
          <w:b/>
          <w:color w:val="auto"/>
          <w:sz w:val="21"/>
          <w:szCs w:val="21"/>
          <w:highlight w:val="none"/>
          <w:u w:val="single"/>
        </w:rPr>
        <w:t xml:space="preserve">/ </w:t>
      </w:r>
    </w:p>
    <w:p w14:paraId="77D15D3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30、工程进度款结算与支付</w:t>
      </w:r>
    </w:p>
    <w:p w14:paraId="6A0F22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双方约定的工程进度款支付的方式、时间和比例是：</w:t>
      </w:r>
    </w:p>
    <w:p w14:paraId="2CC9E67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本项目在合同签订后，项目启动时，拨付40%的预付资金。随后由采购人根据施工进度负责结算，最高拨付到70%，在财政决算评审后付至合同价款的97%；剩余3%作为质保金，施工结束后一年，无任何质量问题后进行无息拨付。</w:t>
      </w:r>
    </w:p>
    <w:p w14:paraId="16DC262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43F9FE0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14:paraId="28D99E4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14:paraId="225FA45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14:paraId="03D59C5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14:paraId="0F53F02C">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14:paraId="498089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14:paraId="393A981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14:paraId="2208FE5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14:paraId="1E1651EB">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14:paraId="7FB547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14:paraId="31B49BE0">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14:paraId="79C2EA0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14:paraId="0B42F4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14:paraId="156130B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14:paraId="0457A963">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38F718E6">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14:paraId="16261121">
      <w:pPr>
        <w:pStyle w:val="6"/>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14:paraId="5AEE73F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2BC2E4F7">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14:paraId="2897BC5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14:paraId="685C9154">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14:paraId="35AB2C4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14:paraId="7D4B51E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14:paraId="2F6B713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14:paraId="64F932B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64D0D7A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2B1FF787">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14:paraId="3D53088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14:paraId="0EEBA1C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14:paraId="6818E2D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14:paraId="431BF82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14:paraId="3CFAA9C8">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157BD35C">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14:paraId="4C84B71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14:paraId="3F87D7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14:paraId="5C01F48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14:paraId="454C3E83">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14:paraId="2786E8BE">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14:paraId="0DCBD9D0">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rPr>
        <w:t>西安市</w:t>
      </w:r>
      <w:r>
        <w:rPr>
          <w:rFonts w:hint="eastAsia" w:ascii="宋体" w:hAnsi="宋体" w:eastAsia="宋体" w:cs="宋体"/>
          <w:b/>
          <w:color w:val="auto"/>
          <w:kern w:val="0"/>
          <w:sz w:val="21"/>
          <w:szCs w:val="21"/>
          <w:u w:val="single"/>
          <w:lang w:val="en-US" w:eastAsia="zh-CN"/>
        </w:rPr>
        <w:t>新城区</w:t>
      </w:r>
      <w:r>
        <w:rPr>
          <w:rFonts w:hint="eastAsia" w:ascii="宋体" w:hAnsi="宋体" w:eastAsia="宋体" w:cs="宋体"/>
          <w:color w:val="auto"/>
          <w:kern w:val="0"/>
          <w:sz w:val="21"/>
          <w:szCs w:val="21"/>
        </w:rPr>
        <w:t>人民法院提起诉讼。</w:t>
      </w:r>
    </w:p>
    <w:p w14:paraId="3157BD4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1B310B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14:paraId="6F80C6B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14:paraId="64A22B8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14:paraId="5A5B5D71">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14:paraId="1C97E50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14:paraId="01F7272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14:paraId="6919DCB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14:paraId="1F8C15B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14:paraId="1FC95D4E">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14:paraId="0E7F022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14:paraId="5290B75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14:paraId="1C0C685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14:paraId="173BBA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14:paraId="6C1D13B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14:paraId="1F92A0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14:paraId="0AB841BB">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14:paraId="300B766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0FD8802B">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14:paraId="292C113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p>
    <w:p w14:paraId="59AD7897">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p>
    <w:p w14:paraId="5CBBC86E">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51.3承包人应按月支付农民工工资，否则，招标人有权从工程款中扣除并发放给农民工。</w:t>
      </w:r>
    </w:p>
    <w:p w14:paraId="3D8F3D3F">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3FA07B4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p>
    <w:p w14:paraId="36FD2282">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14:paraId="0B597E6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p>
    <w:p w14:paraId="1F5F181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14:paraId="2CAC420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14:paraId="7467619B">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14:paraId="7EA5F5E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14:paraId="3FB908D9">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E3D391D">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DF1231C">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CDF6BCB">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5A9613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F9DBC6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213A73A1">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13" w:name="_sec_695_2"/>
      <w:bookmarkEnd w:id="13"/>
      <w:r>
        <w:rPr>
          <w:rFonts w:hint="eastAsia" w:ascii="宋体" w:hAnsi="宋体" w:eastAsia="宋体" w:cs="宋体"/>
          <w:b/>
          <w:color w:val="auto"/>
          <w:sz w:val="21"/>
          <w:szCs w:val="21"/>
        </w:rPr>
        <w:t>附件1：</w:t>
      </w:r>
    </w:p>
    <w:p w14:paraId="33D7051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7C9F9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533B68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14:paraId="3FF90A3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14:paraId="041207A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14:paraId="4001233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14:paraId="2968F74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14:paraId="1EDBCEB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14:paraId="6B30EB9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14:paraId="6669272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14:paraId="446874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14:paraId="031C72D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14:paraId="45D65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ABE4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8CD936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29A48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B2A67B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4D83EB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40803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46AC75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596B21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6E48F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B7351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358B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3EF534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3087EB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41A7F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F927F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B0DA2A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3605A7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1F04D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60C1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4C1254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7D9F65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DF7E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D50506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66B1D3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9B25E6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4615D3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CD4147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C6BFA6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F13468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16D58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83B0AE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0B582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4ABB7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BADFF6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CBF0A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ECA1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DFC870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83745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95AEF1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969E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6DC7F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19A3A4B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471BE5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5AB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E5FE7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9B643A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E6CEC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05AE79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AA564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E9A7E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C1FAA9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FDFDC6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7C0AEC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CBD30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571A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7B6ADD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05E62C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7A663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E35DFB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6CB29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F1A93E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52A75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D642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0404D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9CFBA4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6FD88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19270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36D7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E9F1B2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CE08CD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C67F0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F8AEB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0403C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13DA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4595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095FD4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EDB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0B3FE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F77475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0A0D6A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721BDB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B1BB57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F78884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27142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A23805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0A1530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D6C85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14:paraId="53698899">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14:paraId="1CD75129">
      <w:pPr>
        <w:pStyle w:val="2"/>
        <w:rPr>
          <w:rFonts w:hint="eastAsia"/>
        </w:rPr>
      </w:pPr>
    </w:p>
    <w:p w14:paraId="65EAD8E5">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4" w:name="_sec_718_2"/>
      <w:bookmarkEnd w:id="14"/>
      <w:r>
        <w:rPr>
          <w:rFonts w:hint="eastAsia" w:ascii="宋体" w:hAnsi="宋体" w:eastAsia="宋体" w:cs="宋体"/>
          <w:b/>
          <w:color w:val="auto"/>
          <w:sz w:val="21"/>
          <w:szCs w:val="21"/>
        </w:rPr>
        <w:t>附件2：</w:t>
      </w:r>
    </w:p>
    <w:p w14:paraId="1ABDCD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2"/>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117A342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042FE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BE307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722C8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C6C938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2DD451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29D90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C7771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10B7F05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08F03F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C72E1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5A819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C77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A6AC54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343E5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F7E40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2D1C3C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C21C73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E54FD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1AC94B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3DA887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E1EB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DBFD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5706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508191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5B3C5F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672E73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D92DD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EE61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BC9FF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DCB67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ECF4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CF3F80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D3A3C3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5CBFA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AD0EA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D71824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07191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CCD82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645261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4F8932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CC12B9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22C3B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0E1AC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F66A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5097C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736B6C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5BA29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B1B6377">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A1401B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8DD1F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91547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E7AB8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CAC48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91595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47474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214BA1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3A41B5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9927C0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D889A8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DAC12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AFAE23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F22A93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C332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78C49D3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D4F78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EAE48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D0538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87FF7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FFBC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5CE1CF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958BA1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4ED3B9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65A61B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21A50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402BF0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7EEE0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F96A5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24F5A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76C7A1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A8D383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ED704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50346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6B5C0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3A4E8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2493A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3119D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47360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BAACB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58510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F88EB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97575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3A6A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3E3F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AEFF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E1B66A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76D5C0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31870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AA698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F5DFDD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CA1DD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95EA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A00CB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F953C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35CEB8E">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C5FBD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CA4D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718FE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79EADD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5416DA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B4F14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C2A1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96B75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1C338D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E50CD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5F00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9A64C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3C8E0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2E34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948965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14:paraId="7688A359">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0F93DDBD">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14:paraId="3D7A81CD">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405821143"/>
      <w:bookmarkStart w:id="16" w:name="_Toc16146"/>
      <w:bookmarkStart w:id="17" w:name="_Toc368069061"/>
      <w:bookmarkStart w:id="18" w:name="_Toc405800292"/>
      <w:bookmarkStart w:id="19" w:name="_Toc578"/>
      <w:bookmarkStart w:id="20" w:name="_Toc9454"/>
      <w:bookmarkStart w:id="21" w:name="_Toc405650406"/>
      <w:bookmarkStart w:id="22" w:name="_Toc405820971"/>
      <w:bookmarkStart w:id="23" w:name="_Toc375047928"/>
      <w:bookmarkStart w:id="24" w:name="_Toc405653342"/>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14:paraId="0DBC5F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27ED347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684271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cs="宋体"/>
          <w:color w:val="auto"/>
          <w:sz w:val="21"/>
          <w:szCs w:val="21"/>
          <w:u w:val="single"/>
          <w:lang w:eastAsia="zh-CN"/>
        </w:rPr>
        <w:t>校园设施及教室维修改造项目</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14:paraId="3742CE5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14:paraId="05807A7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14:paraId="6134C4F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493AE5F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14:paraId="08CA280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14:paraId="4B0F3E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14:paraId="54BD16F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048166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4B76711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14:paraId="7371ED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14:paraId="78E98C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1DC885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14:paraId="4E6685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728F14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14:paraId="74B99D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58A6D64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269C00F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14:paraId="0F0AFA5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14:paraId="1C907FE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14:paraId="4EE9EC0E">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14:paraId="5BF46493">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14:paraId="565CA0EE">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2DA53FE8">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14:paraId="4876796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76741BD9">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14:paraId="6334DEBB">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319DC02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14:paraId="792C768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0B7D1524"/>
    <w:rsid w:val="0C1741FF"/>
    <w:rsid w:val="275E3819"/>
    <w:rsid w:val="2E2D035D"/>
    <w:rsid w:val="30010C3B"/>
    <w:rsid w:val="344D2ED4"/>
    <w:rsid w:val="41DD534C"/>
    <w:rsid w:val="478B1022"/>
    <w:rsid w:val="47AB676B"/>
    <w:rsid w:val="49FE4349"/>
    <w:rsid w:val="4A437ACA"/>
    <w:rsid w:val="4D446C7D"/>
    <w:rsid w:val="4FCD042A"/>
    <w:rsid w:val="54B74B11"/>
    <w:rsid w:val="55083CB2"/>
    <w:rsid w:val="575C337D"/>
    <w:rsid w:val="57827D4C"/>
    <w:rsid w:val="582C5F09"/>
    <w:rsid w:val="5B7B4424"/>
    <w:rsid w:val="6017749F"/>
    <w:rsid w:val="64F46001"/>
    <w:rsid w:val="6E533D98"/>
    <w:rsid w:val="6E5643CE"/>
    <w:rsid w:val="7AB14320"/>
    <w:rsid w:val="7BEE51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Block Text"/>
    <w:basedOn w:val="1"/>
    <w:qFormat/>
    <w:uiPriority w:val="0"/>
    <w:pPr>
      <w:ind w:left="420" w:leftChars="200" w:rightChars="-70" w:firstLine="560" w:firstLineChars="200"/>
    </w:pPr>
    <w:rPr>
      <w:rFonts w:ascii="楷体_GB2312" w:eastAsia="楷体_GB2312"/>
      <w:sz w:val="28"/>
      <w:szCs w:val="20"/>
    </w:rPr>
  </w:style>
  <w:style w:type="paragraph" w:styleId="6">
    <w:name w:val="Plain Text"/>
    <w:basedOn w:val="1"/>
    <w:qFormat/>
    <w:uiPriority w:val="0"/>
    <w:rPr>
      <w:rFonts w:ascii="宋体" w:hAnsi="Courier New" w:cs="Courier New"/>
      <w:szCs w:val="21"/>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cs="Times New Roman"/>
      <w:b/>
      <w:bCs/>
      <w:sz w:val="32"/>
      <w:szCs w:val="32"/>
    </w:rPr>
  </w:style>
  <w:style w:type="paragraph" w:styleId="10">
    <w:name w:val="Body Text First Indent"/>
    <w:basedOn w:val="2"/>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4"/>
    <w:next w:val="10"/>
    <w:qFormat/>
    <w:uiPriority w:val="0"/>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26618</Words>
  <Characters>27652</Characters>
  <Lines>0</Lines>
  <Paragraphs>0</Paragraphs>
  <TotalTime>0</TotalTime>
  <ScaleCrop>false</ScaleCrop>
  <LinksUpToDate>false</LinksUpToDate>
  <CharactersWithSpaces>29460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Mr.好奇</cp:lastModifiedBy>
  <dcterms:modified xsi:type="dcterms:W3CDTF">2025-06-27T08:16:21Z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CF52B6921BBB4389867D9A92E201A7BB</vt:lpwstr>
  </property>
  <property fmtid="{D5CDD505-2E9C-101B-9397-08002B2CF9AE}" pid="4" name="KSOTemplateDocerSaveRecord">
    <vt:lpwstr>eyJoZGlkIjoiZDVjNGYzYTczOGZmYWYzMjJjNGMwNmQwZDUyYzczNGIiLCJ1c2VySWQiOiI1MzA2NTk0OTIifQ==</vt:lpwstr>
  </property>
</Properties>
</file>