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版本号：ZJXG202506220250628001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校舍安全维修加固项目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ZJXG2025062</w:t>
      </w:r>
      <w:r>
        <w:br/>
      </w:r>
      <w:r>
        <w:br/>
      </w:r>
      <w:r>
        <w:br/>
      </w:r>
    </w:p>
    <w:p>
      <w:pPr>
        <w:pStyle w:val="null3"/>
        <w:jc w:val="center"/>
        <w:outlineLvl w:val="2"/>
      </w:pPr>
      <w:r>
        <w:rPr>
          <w:rFonts w:ascii="仿宋_GB2312" w:hAnsi="仿宋_GB2312" w:cs="仿宋_GB2312" w:eastAsia="仿宋_GB2312"/>
          <w:sz w:val="28"/>
          <w:b/>
        </w:rPr>
        <w:t>西安市新城区长兴幼儿园</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西安市新城区长兴幼儿园</w:t>
      </w:r>
      <w:r>
        <w:rPr>
          <w:rFonts w:ascii="仿宋_GB2312" w:hAnsi="仿宋_GB2312" w:cs="仿宋_GB2312" w:eastAsia="仿宋_GB2312"/>
        </w:rPr>
        <w:t>委托，拟对</w:t>
      </w:r>
      <w:r>
        <w:rPr>
          <w:rFonts w:ascii="仿宋_GB2312" w:hAnsi="仿宋_GB2312" w:cs="仿宋_GB2312" w:eastAsia="仿宋_GB2312"/>
        </w:rPr>
        <w:t>校舍安全维修加固项目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校舍安全维修加固项目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校舍安全维修加固项目，具体内容详见工程量清单及竞争性磋商文件。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采购包1（校舍安全维修加固项目）：属于专门面向中小企业采购。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8、企业资质：供应商具备建设行政主管部门颁发的建筑工程施工总承包三级及以上资质；同时具有合格有效的安全生产许可证。供应商需在项目电子化交易系统中按要求上传相应证明文件并进行电子签章。</w:t>
      </w:r>
    </w:p>
    <w:p>
      <w:pPr>
        <w:pStyle w:val="null3"/>
      </w:pPr>
      <w:r>
        <w:rPr>
          <w:rFonts w:ascii="仿宋_GB2312" w:hAnsi="仿宋_GB2312" w:cs="仿宋_GB2312" w:eastAsia="仿宋_GB2312"/>
        </w:rPr>
        <w:t>9、拟派项目负责人要求：证书等级：二级及以上注册建造师证书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13、是否接受联合体投标：本项目不接受联合体投标，供应商需在项目电子化交易系统中按要求上传相应证明文件并进行电子签章。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西安市新城区长兴幼儿园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西安市新城区长兴路6号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西安市新城区长兴幼儿园经办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029-83296438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采购包1：519,750.00元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西安市新城区长兴幼儿园</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西安市新城区长兴幼儿园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西安市新城区长兴幼儿园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519,750.00</w:t>
      </w:r>
    </w:p>
    <w:p>
      <w:pPr>
        <w:pStyle w:val="null3"/>
      </w:pPr>
      <w:r>
        <w:rPr>
          <w:rFonts w:ascii="仿宋_GB2312" w:hAnsi="仿宋_GB2312" w:cs="仿宋_GB2312" w:eastAsia="仿宋_GB2312"/>
        </w:rPr>
        <w:t>采购包最高限价（元）: 515,038.93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校舍安全维修加固项目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519,750.00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标的名称：校舍安全维修加固项目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校舍安全维修加固项目，具体内容详见工程量清单及竞争性磋商文件。</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1.工程内容：</w:t>
            </w:r>
            <w:r>
              <w:rPr>
                <w:rFonts w:ascii="仿宋_GB2312" w:hAnsi="仿宋_GB2312" w:cs="仿宋_GB2312" w:eastAsia="仿宋_GB2312"/>
              </w:rPr>
              <w:t>对学校卫生间进行改造及部分建筑工程施工，</w:t>
            </w:r>
            <w:r>
              <w:rPr>
                <w:rFonts w:ascii="仿宋_GB2312" w:hAnsi="仿宋_GB2312" w:cs="仿宋_GB2312" w:eastAsia="仿宋_GB2312"/>
              </w:rPr>
              <w:t>具体工作内容</w:t>
            </w:r>
            <w:r>
              <w:rPr>
                <w:rFonts w:ascii="仿宋_GB2312" w:hAnsi="仿宋_GB2312" w:cs="仿宋_GB2312" w:eastAsia="仿宋_GB2312"/>
              </w:rPr>
              <w:t>详见工程量清单</w:t>
            </w:r>
            <w:r>
              <w:rPr>
                <w:rFonts w:ascii="仿宋_GB2312" w:hAnsi="仿宋_GB2312" w:cs="仿宋_GB2312" w:eastAsia="仿宋_GB2312"/>
              </w:rPr>
              <w:t>。</w:t>
            </w:r>
          </w:p>
          <w:p>
            <w:pPr>
              <w:pStyle w:val="null3"/>
            </w:pPr>
            <w:r>
              <w:rPr>
                <w:rFonts w:ascii="仿宋_GB2312" w:hAnsi="仿宋_GB2312" w:cs="仿宋_GB2312" w:eastAsia="仿宋_GB2312"/>
              </w:rPr>
              <w:t>2.工程地点：</w:t>
            </w:r>
            <w:r>
              <w:rPr>
                <w:rFonts w:ascii="仿宋_GB2312" w:hAnsi="仿宋_GB2312" w:cs="仿宋_GB2312" w:eastAsia="仿宋_GB2312"/>
              </w:rPr>
              <w:t>项目位于西安市新城区</w:t>
            </w:r>
          </w:p>
          <w:p>
            <w:pPr>
              <w:pStyle w:val="null3"/>
            </w:pPr>
            <w:r>
              <w:rPr>
                <w:rFonts w:ascii="仿宋_GB2312" w:hAnsi="仿宋_GB2312" w:cs="仿宋_GB2312" w:eastAsia="仿宋_GB2312"/>
              </w:rPr>
              <w:t>3.工期：</w:t>
            </w:r>
            <w:r>
              <w:rPr>
                <w:rFonts w:ascii="仿宋_GB2312" w:hAnsi="仿宋_GB2312" w:cs="仿宋_GB2312" w:eastAsia="仿宋_GB2312"/>
              </w:rPr>
              <w:t>自合同签订之日起</w:t>
            </w:r>
            <w:r>
              <w:rPr>
                <w:rFonts w:ascii="仿宋_GB2312" w:hAnsi="仿宋_GB2312" w:cs="仿宋_GB2312" w:eastAsia="仿宋_GB2312"/>
              </w:rPr>
              <w:t>30日历天内</w:t>
            </w:r>
            <w:r>
              <w:rPr>
                <w:rFonts w:ascii="仿宋_GB2312" w:hAnsi="仿宋_GB2312" w:cs="仿宋_GB2312" w:eastAsia="仿宋_GB2312"/>
              </w:rPr>
              <w:t>。</w:t>
            </w:r>
          </w:p>
          <w:p>
            <w:pPr>
              <w:pStyle w:val="null3"/>
            </w:pPr>
            <w:r>
              <w:rPr>
                <w:rFonts w:ascii="仿宋_GB2312" w:hAnsi="仿宋_GB2312" w:cs="仿宋_GB2312" w:eastAsia="仿宋_GB2312"/>
              </w:rPr>
              <w:t>三、工程量清单编制说明</w:t>
            </w:r>
          </w:p>
          <w:p>
            <w:pPr>
              <w:pStyle w:val="null3"/>
            </w:pPr>
            <w:r>
              <w:rPr>
                <w:rFonts w:ascii="仿宋_GB2312" w:hAnsi="仿宋_GB2312" w:cs="仿宋_GB2312" w:eastAsia="仿宋_GB2312"/>
              </w:rPr>
              <w:t>（一）编制依据：</w:t>
            </w:r>
          </w:p>
          <w:p>
            <w:pPr>
              <w:pStyle w:val="null3"/>
            </w:pPr>
            <w:r>
              <w:rPr>
                <w:rFonts w:ascii="仿宋_GB2312" w:hAnsi="仿宋_GB2312" w:cs="仿宋_GB2312" w:eastAsia="仿宋_GB2312"/>
              </w:rPr>
              <w:t>1.《陕西省建设工程工程量清单计价规则》（2009）及其配套文件；</w:t>
            </w:r>
          </w:p>
          <w:p>
            <w:pPr>
              <w:pStyle w:val="null3"/>
            </w:pPr>
            <w:r>
              <w:rPr>
                <w:rFonts w:ascii="仿宋_GB2312" w:hAnsi="仿宋_GB2312" w:cs="仿宋_GB2312" w:eastAsia="仿宋_GB2312"/>
              </w:rPr>
              <w:t>2.陕西省住房和城乡建设厅《关于调整我省建设工程计价依据的通知》陕建发〔2019〕45号文件；</w:t>
            </w:r>
          </w:p>
          <w:p>
            <w:pPr>
              <w:pStyle w:val="null3"/>
            </w:pPr>
            <w:r>
              <w:rPr>
                <w:rFonts w:ascii="仿宋_GB2312" w:hAnsi="仿宋_GB2312" w:cs="仿宋_GB2312" w:eastAsia="仿宋_GB2312"/>
              </w:rPr>
              <w:t>3.正常施工组织设计、施工方法及标准图集；</w:t>
            </w:r>
          </w:p>
          <w:p>
            <w:pPr>
              <w:pStyle w:val="null3"/>
            </w:pPr>
            <w:r>
              <w:rPr>
                <w:rFonts w:ascii="仿宋_GB2312" w:hAnsi="仿宋_GB2312" w:cs="仿宋_GB2312" w:eastAsia="仿宋_GB2312"/>
              </w:rPr>
              <w:t>4.依据西安市新城区长兴幼儿园校舍安全维修加固项目施工图纸计算工程量；</w:t>
            </w:r>
          </w:p>
          <w:p>
            <w:pPr>
              <w:pStyle w:val="null3"/>
            </w:pPr>
            <w:r>
              <w:rPr>
                <w:rFonts w:ascii="仿宋_GB2312" w:hAnsi="仿宋_GB2312" w:cs="仿宋_GB2312" w:eastAsia="仿宋_GB2312"/>
              </w:rPr>
              <w:t>5.计价软件采用广联达云计价平台GCCP6.0版本：6.4100.23.122。</w:t>
            </w:r>
          </w:p>
          <w:p>
            <w:pPr>
              <w:pStyle w:val="null3"/>
            </w:pPr>
            <w:r>
              <w:rPr>
                <w:rFonts w:ascii="仿宋_GB2312" w:hAnsi="仿宋_GB2312" w:cs="仿宋_GB2312" w:eastAsia="仿宋_GB2312"/>
              </w:rPr>
              <w:t>（二）工程量清单：电子版另附。</w:t>
            </w:r>
          </w:p>
          <w:p>
            <w:pPr>
              <w:pStyle w:val="null3"/>
            </w:pPr>
            <w:r>
              <w:rPr>
                <w:rFonts w:ascii="仿宋_GB2312" w:hAnsi="仿宋_GB2312" w:cs="仿宋_GB2312" w:eastAsia="仿宋_GB2312"/>
              </w:rPr>
              <w:t>（三）图纸：电子版另附。</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1、成交供应商必须配备足够的人员和充足的机械设备进入实施，确保按时保质保量完成任务。</w:t>
            </w:r>
          </w:p>
          <w:p>
            <w:pPr>
              <w:pStyle w:val="null3"/>
            </w:pPr>
            <w:r>
              <w:rPr>
                <w:rFonts w:ascii="仿宋_GB2312" w:hAnsi="仿宋_GB2312" w:cs="仿宋_GB2312" w:eastAsia="仿宋_GB2312"/>
              </w:rPr>
              <w:t>2、必须严密组织，文明施工，作好四周维护及安全环保措施，所需费用由成交供应商承担，施工过程必须严格遵守政府相关规定。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1、付款条件说明：合同签订后，达到付款条件起30日内，支付合同总金额的40.00%。</w:t>
            </w:r>
          </w:p>
          <w:p>
            <w:pPr>
              <w:pStyle w:val="null3"/>
            </w:pPr>
            <w:r>
              <w:rPr>
                <w:rFonts w:ascii="仿宋_GB2312" w:hAnsi="仿宋_GB2312" w:cs="仿宋_GB2312" w:eastAsia="仿宋_GB2312"/>
              </w:rPr>
              <w:t>2、付款条件说明：工程全部竣工验收通过后，达到付款条件起30日内，支付合同总金额的50.00%。</w:t>
            </w:r>
          </w:p>
          <w:p>
            <w:pPr>
              <w:pStyle w:val="null3"/>
            </w:pPr>
            <w:r>
              <w:rPr>
                <w:rFonts w:ascii="仿宋_GB2312" w:hAnsi="仿宋_GB2312" w:cs="仿宋_GB2312" w:eastAsia="仿宋_GB2312"/>
              </w:rPr>
              <w:t>3、付款条件说明：工程审计结束后，达到付款条件起30日内，支付合同总金额的10.00%。</w:t>
            </w:r>
          </w:p>
          <w:p>
            <w:pPr>
              <w:pStyle w:val="null3"/>
            </w:pPr>
            <w:r>
              <w:rPr>
                <w:rFonts w:ascii="仿宋_GB2312" w:hAnsi="仿宋_GB2312" w:cs="仿宋_GB2312" w:eastAsia="仿宋_GB2312"/>
              </w:rPr>
              <w:t>质量要求：</w:t>
            </w:r>
          </w:p>
          <w:p>
            <w:pPr>
              <w:pStyle w:val="null3"/>
            </w:pPr>
            <w:r>
              <w:rPr>
                <w:rFonts w:ascii="仿宋_GB2312" w:hAnsi="仿宋_GB2312" w:cs="仿宋_GB2312" w:eastAsia="仿宋_GB2312"/>
              </w:rPr>
              <w:t>达到国家及行业现行技术规范标准，符合国家及行业验收合格标准。</w:t>
            </w:r>
          </w:p>
          <w:p>
            <w:pPr>
              <w:pStyle w:val="null3"/>
            </w:pPr>
            <w:r>
              <w:rPr>
                <w:rFonts w:ascii="仿宋_GB2312" w:hAnsi="仿宋_GB2312" w:cs="仿宋_GB2312" w:eastAsia="仿宋_GB2312"/>
              </w:rPr>
              <w:t>质量保修期：</w:t>
            </w:r>
          </w:p>
          <w:p>
            <w:pPr>
              <w:pStyle w:val="null3"/>
            </w:pPr>
            <w:r>
              <w:rPr>
                <w:rFonts w:ascii="仿宋_GB2312" w:hAnsi="仿宋_GB2312" w:cs="仿宋_GB2312" w:eastAsia="仿宋_GB2312"/>
              </w:rPr>
              <w:t>质量保修期其他工程为二年，防水工程为五年。</w:t>
            </w:r>
          </w:p>
          <w:p>
            <w:pPr>
              <w:pStyle w:val="null3"/>
              <w:jc w:val="both"/>
            </w:pPr>
            <w:r>
              <w:rPr>
                <w:rFonts w:ascii="仿宋_GB2312" w:hAnsi="仿宋_GB2312" w:cs="仿宋_GB2312" w:eastAsia="仿宋_GB2312"/>
                <w:sz w:val="21"/>
              </w:rPr>
              <w:t>质量保修期自验收合格之日起计算。</w:t>
            </w:r>
          </w:p>
          <w:p>
            <w:pPr>
              <w:pStyle w:val="null3"/>
              <w:ind w:firstLine="480"/>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1、项目范围内全部采用湿法作业、现场无扬尘。2、按城市管理部门要求安装联网监控和空气检测装置等，确保设备正常使用。</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供应商具备建设行政主管部门颁发的建筑工程施工总承包三级及以上资质；同时具有合格有效的安全生产许可证。供应商需在项目电子化交易系统中按要求上传相应证明文件并进行电子签章。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证书等级：二级及以上注册建造师证书 专业：建筑工程 补充说明：同时具备有效期内的安全生产考核合格证书（安B证），且无在建项目（提供承诺书）。供应商需在项目电子化交易系统中按要求上传相应证明文件并进行电子签章；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磋商响应方案说明.docx 响应文件封面 项目管理机构组成表 供应商认为有必要补充说明的事项.docx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 内容合理、方案具体可行、完全符合要求得7.1-10.0分； 内容较合理、方案可行性一般，基本符合要求得4.1-7.0分； 内容不完备、方案可行性差、不能全面符合要求得1.0-4.0分；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 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 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 内容合理、方案具体可行、完全符合要求得3.1-5.0分； 内容较合理、方案可行性一般，基本符合要求得2.1-3.0分； 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 安全文明、环保保证体系组织措施和控制点设置合理，内容合理、方案具体可行、完全符合要求得3.1-5.0分； 内容较合理、方案可行性一般，基本符合要求得2.1-3.0分； 内容不完备、方案可行性差、不能全面符合要求得1.0-2.0分；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 人员配备合理、科学可行、完全符合要求得3.1-5.0分； 人员配备较合理、可行性一般，基本符合要求得2.1-3.0分； 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 措施基本合理、较详细、可操作性一般得2.1-3.0分； 措施欠缺或内容不完备得1.0-2.0分；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 计划完备，详细、可行性强计3.1-5.0分； 计划较合理、较详细、基本可行得2.1-3.0分； 计划欠缺或内容不完备得1.0-2.0分；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 现场扬尘管理措施合理、有详尽的扬尘控制措施并可达到国家控制的标准得3.1-5.0分； 现场扬尘管理措施较为合理得2.1-3.0分； 现场扬尘管理措施一般得1.0-2.0分；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 方案合理、详尽、满足项目需要得3.1-5.0分；方案较为合理得2.1-3.0分， 方案一般得1.0-2.0分，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供应商自2022年6月1日以来承担过类似项目业绩。（以合同签订日期或中标通知书签署日期为准)；每提供一项业绩得2分，最高得4分。须提供合同或中标通知书复印件并加盖公章，不提供不得分。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 方案完善、科学合理，针对性强、服务承诺明确，计3.1-5.0分； 方案较完善、合理可行、特点和承诺一般，计2.1-3.0分；方案不完备或不完全符合项目要求计1.0-2.0分；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