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版本号：ZJXG202506120250628001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校舍维修改造项目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ZJXG2025061</w:t>
      </w:r>
      <w:r>
        <w:br/>
      </w:r>
      <w:r>
        <w:br/>
      </w:r>
      <w:r>
        <w:br/>
      </w:r>
    </w:p>
    <w:p>
      <w:pPr>
        <w:pStyle w:val="null3"/>
        <w:jc w:val="center"/>
        <w:outlineLvl w:val="2"/>
      </w:pPr>
      <w:r>
        <w:rPr>
          <w:rFonts w:ascii="仿宋_GB2312" w:hAnsi="仿宋_GB2312" w:cs="仿宋_GB2312" w:eastAsia="仿宋_GB2312"/>
          <w:sz w:val="28"/>
          <w:b/>
        </w:rPr>
        <w:t>西安市新城区秦川幼儿园</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西安市新城区秦川幼儿园</w:t>
      </w:r>
      <w:r>
        <w:rPr>
          <w:rFonts w:ascii="仿宋_GB2312" w:hAnsi="仿宋_GB2312" w:cs="仿宋_GB2312" w:eastAsia="仿宋_GB2312"/>
        </w:rPr>
        <w:t>委托，拟对</w:t>
      </w:r>
      <w:r>
        <w:rPr>
          <w:rFonts w:ascii="仿宋_GB2312" w:hAnsi="仿宋_GB2312" w:cs="仿宋_GB2312" w:eastAsia="仿宋_GB2312"/>
        </w:rPr>
        <w:t>校舍维修改造项目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ZJXG2025061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校舍维修改造项目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校舍维修改造项目，具体内容详见工程量清单及竞争性磋商文件。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采购包1（校舍维修改造项目）：属于专门面向中小企业采购。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竞争性磋商响应文件提交截止日一年内银行出具的资信证明，④供应商注册时间截至竞争性磋商响应文件提交截止日不足一年的，也可提供在工商管理部门备案的公司章程。供应商需在项目电子化交易系统中按要求上传相应证明文件并进行电子签章；</w:t>
      </w:r>
    </w:p>
    <w:p>
      <w:pPr>
        <w:pStyle w:val="null3"/>
      </w:pPr>
      <w:r>
        <w:rPr>
          <w:rFonts w:ascii="仿宋_GB2312" w:hAnsi="仿宋_GB2312" w:cs="仿宋_GB2312" w:eastAsia="仿宋_GB2312"/>
        </w:rPr>
        <w:t>3、税收缴纳证明：提供2024年1月至今已缴纳的1个月的纳税证明或完税证明，依法免税的单位应提供相关证明材料。供应商需在项目电子化交易系统中按要求上传相应证明文件并进行电子签章；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及被授权人身份证：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p>
      <w:pPr>
        <w:pStyle w:val="null3"/>
      </w:pPr>
      <w:r>
        <w:rPr>
          <w:rFonts w:ascii="仿宋_GB2312" w:hAnsi="仿宋_GB2312" w:cs="仿宋_GB2312" w:eastAsia="仿宋_GB2312"/>
        </w:rPr>
        <w:t>8、企业资质：供应商具备建设行政主管部门颁发的建筑工程施工总承包三级及以上资质；同时具有合格有效的安全生产许可证。供应商需在项目电子化交易系统中按要求上传相应证明文件并进行电子签章。</w:t>
      </w:r>
    </w:p>
    <w:p>
      <w:pPr>
        <w:pStyle w:val="null3"/>
      </w:pPr>
      <w:r>
        <w:rPr>
          <w:rFonts w:ascii="仿宋_GB2312" w:hAnsi="仿宋_GB2312" w:cs="仿宋_GB2312" w:eastAsia="仿宋_GB2312"/>
        </w:rPr>
        <w:t>9、拟派项目负责人要求：证书等级：二级及以上注册建造师证书 专业：建筑工程 补充说明：同时具备有效期内的安全生产考核合格证书（安B证），且无在建项目（提供承诺书）。供应商需在项目电子化交易系统中按要求上传相应证明文件并进行电子签章；</w:t>
      </w:r>
    </w:p>
    <w:p>
      <w:pPr>
        <w:pStyle w:val="null3"/>
      </w:pPr>
      <w:r>
        <w:rPr>
          <w:rFonts w:ascii="仿宋_GB2312" w:hAnsi="仿宋_GB2312" w:cs="仿宋_GB2312" w:eastAsia="仿宋_GB2312"/>
        </w:rPr>
        <w:t>10、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pPr>
        <w:pStyle w:val="null3"/>
      </w:pPr>
      <w:r>
        <w:rPr>
          <w:rFonts w:ascii="仿宋_GB2312" w:hAnsi="仿宋_GB2312" w:cs="仿宋_GB2312" w:eastAsia="仿宋_GB2312"/>
        </w:rPr>
        <w:t>11、中小企业：本合同包为专门面向中小企业采购（提供中小企业声明函或监狱企业的证明文件或残疾人福利性单位声明函）。供应商需在项目电子化交易系统中按要求上传相应证明文件并进行电子签章；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12、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13、是否接受联合体投标：本项目不接受联合体投标，供应商需在项目电子化交易系统中按要求上传相应证明文件并进行电子签章。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西安市新城区秦川幼儿园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西安市新城区幸福中路35号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西安市新城区秦川幼儿园经办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029-83127957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梁加豪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计取。成交单位服务费交纳信息银行户名：陕西中鉴项目管理有限公司开户行：招商银行股份有限公司西安分行营业部账号：129911072510777联系电话：029-88229191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西安市新城区秦川幼儿园</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西安市新城区秦川幼儿园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西安市新城区秦川幼儿园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联系人：梁加豪</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756,000.00</w:t>
      </w:r>
    </w:p>
    <w:p>
      <w:pPr>
        <w:pStyle w:val="null3"/>
      </w:pPr>
      <w:r>
        <w:rPr>
          <w:rFonts w:ascii="仿宋_GB2312" w:hAnsi="仿宋_GB2312" w:cs="仿宋_GB2312" w:eastAsia="仿宋_GB2312"/>
        </w:rPr>
        <w:t>采购包最高限价（元）: 749,954.77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校舍维修改造项目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756,000.00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标的名称：校舍维修改造项目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校舍维修改造项目，具体内容详见工程量清单及竞争性磋商文件。</w:t>
            </w:r>
          </w:p>
          <w:p>
            <w:pPr>
              <w:pStyle w:val="null3"/>
            </w:pPr>
            <w:r>
              <w:rPr>
                <w:rFonts w:ascii="仿宋_GB2312" w:hAnsi="仿宋_GB2312" w:cs="仿宋_GB2312" w:eastAsia="仿宋_GB2312"/>
              </w:rPr>
              <w:t>二、工程内容和施工地点、计划工期</w:t>
            </w:r>
          </w:p>
          <w:p>
            <w:pPr>
              <w:pStyle w:val="null3"/>
            </w:pPr>
            <w:r>
              <w:rPr>
                <w:rFonts w:ascii="仿宋_GB2312" w:hAnsi="仿宋_GB2312" w:cs="仿宋_GB2312" w:eastAsia="仿宋_GB2312"/>
              </w:rPr>
              <w:t>1.工程内容：</w:t>
            </w:r>
            <w:r>
              <w:rPr>
                <w:rFonts w:ascii="仿宋_GB2312" w:hAnsi="仿宋_GB2312" w:cs="仿宋_GB2312" w:eastAsia="仿宋_GB2312"/>
              </w:rPr>
              <w:t>对学校室外部分地板、教室及卫生间进行改造，详见工程量清单</w:t>
            </w:r>
            <w:r>
              <w:rPr>
                <w:rFonts w:ascii="仿宋_GB2312" w:hAnsi="仿宋_GB2312" w:cs="仿宋_GB2312" w:eastAsia="仿宋_GB2312"/>
              </w:rPr>
              <w:t>。</w:t>
            </w:r>
          </w:p>
          <w:p>
            <w:pPr>
              <w:pStyle w:val="null3"/>
            </w:pPr>
            <w:r>
              <w:rPr>
                <w:rFonts w:ascii="仿宋_GB2312" w:hAnsi="仿宋_GB2312" w:cs="仿宋_GB2312" w:eastAsia="仿宋_GB2312"/>
              </w:rPr>
              <w:t>2.工程地点：</w:t>
            </w:r>
            <w:r>
              <w:rPr>
                <w:rFonts w:ascii="仿宋_GB2312" w:hAnsi="仿宋_GB2312" w:cs="仿宋_GB2312" w:eastAsia="仿宋_GB2312"/>
              </w:rPr>
              <w:t>项目位于西安市新城区</w:t>
            </w:r>
          </w:p>
          <w:p>
            <w:pPr>
              <w:pStyle w:val="null3"/>
            </w:pPr>
            <w:r>
              <w:rPr>
                <w:rFonts w:ascii="仿宋_GB2312" w:hAnsi="仿宋_GB2312" w:cs="仿宋_GB2312" w:eastAsia="仿宋_GB2312"/>
              </w:rPr>
              <w:t>3.工期：</w:t>
            </w:r>
            <w:r>
              <w:rPr>
                <w:rFonts w:ascii="仿宋_GB2312" w:hAnsi="仿宋_GB2312" w:cs="仿宋_GB2312" w:eastAsia="仿宋_GB2312"/>
              </w:rPr>
              <w:t>自合同签订之日起</w:t>
            </w:r>
            <w:r>
              <w:rPr>
                <w:rFonts w:ascii="仿宋_GB2312" w:hAnsi="仿宋_GB2312" w:cs="仿宋_GB2312" w:eastAsia="仿宋_GB2312"/>
              </w:rPr>
              <w:t>30日历天内</w:t>
            </w:r>
            <w:r>
              <w:rPr>
                <w:rFonts w:ascii="仿宋_GB2312" w:hAnsi="仿宋_GB2312" w:cs="仿宋_GB2312" w:eastAsia="仿宋_GB2312"/>
              </w:rPr>
              <w:t>。</w:t>
            </w:r>
          </w:p>
          <w:p>
            <w:pPr>
              <w:pStyle w:val="null3"/>
            </w:pPr>
            <w:r>
              <w:rPr>
                <w:rFonts w:ascii="仿宋_GB2312" w:hAnsi="仿宋_GB2312" w:cs="仿宋_GB2312" w:eastAsia="仿宋_GB2312"/>
              </w:rPr>
              <w:t>三、工程量清单编制说明</w:t>
            </w:r>
          </w:p>
          <w:p>
            <w:pPr>
              <w:pStyle w:val="null3"/>
            </w:pPr>
            <w:r>
              <w:rPr>
                <w:rFonts w:ascii="仿宋_GB2312" w:hAnsi="仿宋_GB2312" w:cs="仿宋_GB2312" w:eastAsia="仿宋_GB2312"/>
              </w:rPr>
              <w:t>（一）编制依据：</w:t>
            </w:r>
          </w:p>
          <w:p>
            <w:pPr>
              <w:pStyle w:val="null3"/>
            </w:pPr>
            <w:r>
              <w:rPr>
                <w:rFonts w:ascii="仿宋_GB2312" w:hAnsi="仿宋_GB2312" w:cs="仿宋_GB2312" w:eastAsia="仿宋_GB2312"/>
              </w:rPr>
              <w:t>1.《陕西省建设工程工程量清单计价规则》（2009）及其配套文件；</w:t>
            </w:r>
          </w:p>
          <w:p>
            <w:pPr>
              <w:pStyle w:val="null3"/>
            </w:pPr>
            <w:r>
              <w:rPr>
                <w:rFonts w:ascii="仿宋_GB2312" w:hAnsi="仿宋_GB2312" w:cs="仿宋_GB2312" w:eastAsia="仿宋_GB2312"/>
              </w:rPr>
              <w:t>2.陕西省住房和城乡建设厅《关于调整我省建设工程计价依据的通知》陕建发〔2019〕45号文件；</w:t>
            </w:r>
          </w:p>
          <w:p>
            <w:pPr>
              <w:pStyle w:val="null3"/>
            </w:pPr>
            <w:r>
              <w:rPr>
                <w:rFonts w:ascii="仿宋_GB2312" w:hAnsi="仿宋_GB2312" w:cs="仿宋_GB2312" w:eastAsia="仿宋_GB2312"/>
              </w:rPr>
              <w:t>3.正常施工组织设计、施工方法及标准图集；</w:t>
            </w:r>
          </w:p>
          <w:p>
            <w:pPr>
              <w:pStyle w:val="null3"/>
            </w:pPr>
            <w:r>
              <w:rPr>
                <w:rFonts w:ascii="仿宋_GB2312" w:hAnsi="仿宋_GB2312" w:cs="仿宋_GB2312" w:eastAsia="仿宋_GB2312"/>
              </w:rPr>
              <w:t>4.依据西安市新城区秦川幼儿园校舍维修改造项目施工图纸计算工程量；</w:t>
            </w:r>
          </w:p>
          <w:p>
            <w:pPr>
              <w:pStyle w:val="null3"/>
            </w:pPr>
            <w:r>
              <w:rPr>
                <w:rFonts w:ascii="仿宋_GB2312" w:hAnsi="仿宋_GB2312" w:cs="仿宋_GB2312" w:eastAsia="仿宋_GB2312"/>
              </w:rPr>
              <w:t>5.计价软件采用广联达云计价平台GCCP 6.0 版本：6.4100.23.122。</w:t>
            </w:r>
          </w:p>
          <w:p>
            <w:pPr>
              <w:pStyle w:val="null3"/>
            </w:pPr>
            <w:r>
              <w:rPr>
                <w:rFonts w:ascii="仿宋_GB2312" w:hAnsi="仿宋_GB2312" w:cs="仿宋_GB2312" w:eastAsia="仿宋_GB2312"/>
              </w:rPr>
              <w:t>（二）工程量清单：电子版另附。</w:t>
            </w:r>
          </w:p>
          <w:p>
            <w:pPr>
              <w:pStyle w:val="null3"/>
            </w:pPr>
            <w:r>
              <w:rPr>
                <w:rFonts w:ascii="仿宋_GB2312" w:hAnsi="仿宋_GB2312" w:cs="仿宋_GB2312" w:eastAsia="仿宋_GB2312"/>
              </w:rPr>
              <w:t>（三）图纸：电子版另附。</w:t>
            </w:r>
          </w:p>
          <w:p>
            <w:pPr>
              <w:pStyle w:val="null3"/>
            </w:pPr>
            <w:r>
              <w:rPr>
                <w:rFonts w:ascii="仿宋_GB2312" w:hAnsi="仿宋_GB2312" w:cs="仿宋_GB2312" w:eastAsia="仿宋_GB2312"/>
              </w:rPr>
              <w:t>四、施工要求</w:t>
            </w:r>
          </w:p>
          <w:p>
            <w:pPr>
              <w:pStyle w:val="null3"/>
            </w:pPr>
            <w:r>
              <w:rPr>
                <w:rFonts w:ascii="仿宋_GB2312" w:hAnsi="仿宋_GB2312" w:cs="仿宋_GB2312" w:eastAsia="仿宋_GB2312"/>
              </w:rPr>
              <w:t>1、成交供应商必须配备足够的人员和充足的机械设备进入实施，确保按时保质保量完成任务。</w:t>
            </w:r>
          </w:p>
          <w:p>
            <w:pPr>
              <w:pStyle w:val="null3"/>
            </w:pPr>
            <w:r>
              <w:rPr>
                <w:rFonts w:ascii="仿宋_GB2312" w:hAnsi="仿宋_GB2312" w:cs="仿宋_GB2312" w:eastAsia="仿宋_GB2312"/>
              </w:rPr>
              <w:t>2、必须严密组织，文明施工，作好四周维护及安全环保措施，所需费用由成交供应商承担，施工过程必须严格遵守政府相关规定。</w:t>
            </w:r>
          </w:p>
          <w:p>
            <w:pPr>
              <w:pStyle w:val="null3"/>
            </w:pPr>
            <w:r>
              <w:rPr>
                <w:rFonts w:ascii="仿宋_GB2312" w:hAnsi="仿宋_GB2312" w:cs="仿宋_GB2312" w:eastAsia="仿宋_GB2312"/>
              </w:rPr>
              <w:t>3、严格遵守西安市关于控制扬尘污染、治污减霾的相关规定，并承担一切安全事故或违规处罚所带来的经济及法律责任。</w:t>
            </w:r>
          </w:p>
          <w:p>
            <w:pPr>
              <w:pStyle w:val="null3"/>
            </w:pPr>
            <w:r>
              <w:rPr>
                <w:rFonts w:ascii="仿宋_GB2312" w:hAnsi="仿宋_GB2312" w:cs="仿宋_GB2312" w:eastAsia="仿宋_GB2312"/>
              </w:rPr>
              <w:t>4、在施工前，承包方应制定施工方案，提出具体的防尘抑尘降尘降噪等环保措施，配备足够的防尘抑尘降尘软硬件设施，明确具体的环保要求和环保责任人、制定湿法降尘专项实施方案，并按有关标准及专项实施方案实施湿法作业，有效降尘作业，造成扬尘污染的，必须服从相关监督或管理部门发出的责令整改并接受其按有关规定进行的处理。</w:t>
            </w:r>
          </w:p>
          <w:p>
            <w:pPr>
              <w:pStyle w:val="null3"/>
            </w:pPr>
            <w:r>
              <w:rPr>
                <w:rFonts w:ascii="仿宋_GB2312" w:hAnsi="仿宋_GB2312" w:cs="仿宋_GB2312" w:eastAsia="仿宋_GB2312"/>
              </w:rPr>
              <w:t>承包方在垃圾外运中应严格遵守港务区关于治污减霾相关规定，服从采购人相关部门管理，严格做好治污减霾工作。</w:t>
            </w:r>
          </w:p>
          <w:p>
            <w:pPr>
              <w:pStyle w:val="null3"/>
            </w:pPr>
            <w:r>
              <w:rPr>
                <w:rFonts w:ascii="仿宋_GB2312" w:hAnsi="仿宋_GB2312" w:cs="仿宋_GB2312" w:eastAsia="仿宋_GB2312"/>
              </w:rPr>
              <w:t>5、承包方必须严格按照治污减霾工作要求，完成施工出入口、洗车台、监控、环境监测设备等设施施工、安装，负责场内垃圾，裸露黄土覆盖、道路冲洗等工作，并承担相关费用，同时，需根据政府相关部门要求，完成拆除、渣土和垃圾外运相关手续办理后方可进场施工。施工过程中，应无条件响应各级管理部门，招标人各项管理规定，要求停工时必须立即停工，如因承包方私自作业，不按要求施工等情况由承包方承担全部责任，由此产生的全部费用由承包方承担。</w:t>
            </w:r>
          </w:p>
          <w:p>
            <w:pPr>
              <w:pStyle w:val="null3"/>
            </w:pPr>
            <w:r>
              <w:rPr>
                <w:rFonts w:ascii="仿宋_GB2312" w:hAnsi="仿宋_GB2312" w:cs="仿宋_GB2312" w:eastAsia="仿宋_GB2312"/>
              </w:rPr>
              <w:t>6、承包方负责现场安全管理工作，并承担全部责任及由此产生的全部费用，现场人员由承包方按照相关规定办理相关保险事宜。</w:t>
            </w:r>
          </w:p>
          <w:p>
            <w:pPr>
              <w:pStyle w:val="null3"/>
            </w:pPr>
            <w:r>
              <w:rPr>
                <w:rFonts w:ascii="仿宋_GB2312" w:hAnsi="仿宋_GB2312" w:cs="仿宋_GB2312" w:eastAsia="仿宋_GB2312"/>
              </w:rPr>
              <w:t>五、商务要求</w:t>
            </w:r>
          </w:p>
          <w:p>
            <w:pPr>
              <w:pStyle w:val="null3"/>
            </w:pPr>
            <w:r>
              <w:rPr>
                <w:rFonts w:ascii="仿宋_GB2312" w:hAnsi="仿宋_GB2312" w:cs="仿宋_GB2312" w:eastAsia="仿宋_GB2312"/>
              </w:rPr>
              <w:t>付款方式：</w:t>
            </w:r>
          </w:p>
          <w:p>
            <w:pPr>
              <w:pStyle w:val="null3"/>
            </w:pPr>
            <w:r>
              <w:rPr>
                <w:rFonts w:ascii="仿宋_GB2312" w:hAnsi="仿宋_GB2312" w:cs="仿宋_GB2312" w:eastAsia="仿宋_GB2312"/>
              </w:rPr>
              <w:t>1、付款条件说明：合同签订后，达到付款条件起30日内，支付合同总金额的40.00%。</w:t>
            </w:r>
          </w:p>
          <w:p>
            <w:pPr>
              <w:pStyle w:val="null3"/>
            </w:pPr>
            <w:r>
              <w:rPr>
                <w:rFonts w:ascii="仿宋_GB2312" w:hAnsi="仿宋_GB2312" w:cs="仿宋_GB2312" w:eastAsia="仿宋_GB2312"/>
              </w:rPr>
              <w:t>2、付款条件说明：工程全部竣工验收通过后，达到付款条件起30日内，支付合同总金额的50.00%。</w:t>
            </w:r>
          </w:p>
          <w:p>
            <w:pPr>
              <w:pStyle w:val="null3"/>
            </w:pPr>
            <w:r>
              <w:rPr>
                <w:rFonts w:ascii="仿宋_GB2312" w:hAnsi="仿宋_GB2312" w:cs="仿宋_GB2312" w:eastAsia="仿宋_GB2312"/>
              </w:rPr>
              <w:t>3、付款条件说明：工程审计结束后，达到付款条件起30日内，支付合同总金额的10.00%。</w:t>
            </w:r>
          </w:p>
          <w:p>
            <w:pPr>
              <w:pStyle w:val="null3"/>
            </w:pPr>
            <w:r>
              <w:rPr>
                <w:rFonts w:ascii="仿宋_GB2312" w:hAnsi="仿宋_GB2312" w:cs="仿宋_GB2312" w:eastAsia="仿宋_GB2312"/>
              </w:rPr>
              <w:t>质量要求：</w:t>
            </w:r>
          </w:p>
          <w:p>
            <w:pPr>
              <w:pStyle w:val="null3"/>
            </w:pPr>
            <w:r>
              <w:rPr>
                <w:rFonts w:ascii="仿宋_GB2312" w:hAnsi="仿宋_GB2312" w:cs="仿宋_GB2312" w:eastAsia="仿宋_GB2312"/>
              </w:rPr>
              <w:t>达到国家及行业现行技术规范标准，符合国家及行业验收合格标准。</w:t>
            </w:r>
          </w:p>
          <w:p>
            <w:pPr>
              <w:pStyle w:val="null3"/>
            </w:pPr>
            <w:r>
              <w:rPr>
                <w:rFonts w:ascii="仿宋_GB2312" w:hAnsi="仿宋_GB2312" w:cs="仿宋_GB2312" w:eastAsia="仿宋_GB2312"/>
              </w:rPr>
              <w:t>质量保修期：</w:t>
            </w:r>
          </w:p>
          <w:p>
            <w:pPr>
              <w:pStyle w:val="null3"/>
            </w:pPr>
            <w:r>
              <w:rPr>
                <w:rFonts w:ascii="仿宋_GB2312" w:hAnsi="仿宋_GB2312" w:cs="仿宋_GB2312" w:eastAsia="仿宋_GB2312"/>
              </w:rPr>
              <w:t>质量保修期其他工程为二年，防水工程为五年。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1、项目范围内全部采用湿法作业、现场无扬尘。2、按城市管理部门要求安装联网监控和空气检测装置等，确保设备正常使用。</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竞争性磋商响应文件提交截止日一年内银行出具的资信证明，④供应商注册时间截至竞争性磋商响应文件提交截止日不足一年的，也可提供在工商管理部门备案的公司章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竞争性磋商响应文件提交截止日一年内银行出具的资信证明，④供应商注册时间截至竞争性磋商响应文件提交截止日不足一年的，也可提供在工商管理部门备案的公司章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授权书及被授权人身份证</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供应商具备建设行政主管部门颁发的建筑工程施工总承包三级及以上资质；同时具有合格有效的安全生产许可证。供应商需在项目电子化交易系统中按要求上传相应证明文件并进行电子签章。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拟派项目负责人要求</w:t>
            </w:r>
          </w:p>
        </w:tc>
        <w:tc>
          <w:tcPr>
            <w:tcW w:type="dxa" w:w="3322"/>
          </w:tcPr>
          <w:p>
            <w:pPr>
              <w:pStyle w:val="null3"/>
            </w:pPr>
            <w:r>
              <w:rPr>
                <w:rFonts w:ascii="仿宋_GB2312" w:hAnsi="仿宋_GB2312" w:cs="仿宋_GB2312" w:eastAsia="仿宋_GB2312"/>
              </w:rPr>
              <w:t>证书等级：二级及以上注册建造师证书 专业：建筑工程 补充说明：同时具备有效期内的安全生产考核合格证书（安B证），且无在建项目（提供承诺书）。供应商需在项目电子化交易系统中按要求上传相应证明文件并进行电子签章；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提供的投标产品中每有一项为节能产品（非强制类）经国家认证的得0.5分，每有一项为环境标志产品经国家认证的得0.5分，供应商投标产品中每有一项产品同时为节能产品和环境标志产品得1分，最多得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对该项目实施的重点、难点进行分析，对易发生质量通病、易出现安全问题、施工难度大、技术含量高的部分进行说明并给出施工保障措施和专项技术方案（含主要施工方法、组织措施、检验手段等）。 内容合理、方案具体可行、完全符合要求得7.1-10.0分； 内容较合理、方案可行性一般，基本符合要求得4.1-7.0分； 内容不完备、方案可行性差、不能全面符合要求得1.0-4.0分；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施工进度计划安排</w:t>
            </w:r>
          </w:p>
        </w:tc>
        <w:tc>
          <w:tcPr>
            <w:tcW w:type="dxa" w:w="2492"/>
          </w:tcPr>
          <w:p>
            <w:pPr>
              <w:pStyle w:val="null3"/>
            </w:pPr>
            <w:r>
              <w:rPr>
                <w:rFonts w:ascii="仿宋_GB2312" w:hAnsi="仿宋_GB2312" w:cs="仿宋_GB2312" w:eastAsia="仿宋_GB2312"/>
              </w:rPr>
              <w:t>分析本项目进度目标及关键节点，同时针对关键节点、具体环节提出相应进度保障措施，并根据本项目的工期要求，提供全面的确保工程按期按质完成的进度计划安排。 整体进度安排（施工进度表或施工网络图）及各阶段进度保证措施内容合理、方案具体可行、完全符合要求得5.1-7.0分； 内容较合理、方案可行性一般，基本符合要求得3.1-5.0分； 内容不完备、方案可行性差、不能全面符合要求得1.0-3.0分；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针对本项目制定切实可行的总体质量控制目标，且对质量控制目标进行合理分解、规划，确保本项目质量标准符合相关标准。 内容合理、方案具体可行、完全符合要求得5.1-7.0分； 内容较合理、方案可行性一般，基本符合要求得3.1-5.0分； 内容不完备、方案可行性差、不能全面符合要求得1.0-3.0分；未提供不计分。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施工应急预案</w:t>
            </w:r>
          </w:p>
        </w:tc>
        <w:tc>
          <w:tcPr>
            <w:tcW w:type="dxa" w:w="2492"/>
          </w:tcPr>
          <w:p>
            <w:pPr>
              <w:pStyle w:val="null3"/>
            </w:pPr>
            <w:r>
              <w:rPr>
                <w:rFonts w:ascii="仿宋_GB2312" w:hAnsi="仿宋_GB2312" w:cs="仿宋_GB2312" w:eastAsia="仿宋_GB2312"/>
              </w:rPr>
              <w:t>针对本项目制定切实可行的人工、材料、设备的组织方案、给出有针对性的施工应急预案。 内容合理、方案具体可行、完全符合要求得3.1-5.0分； 内容较合理、方案可行性一般，基本符合要求得2.1-3.0分； 内容不完备、方案可行性差、不能全面符合要求得1.0-2.0分；未提供不计分。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结合工程环境、特点分析安全隐患，给出有针对性的安全生产、文明施工、环保施工、防尘降噪等保证措施。 安全文明、环保保证体系组织措施和控制点设置合理，内容合理、方案具体可行、完全符合要求得3.1-5.0分； 内容较合理、方案可行性一般，基本符合要求得2.1-3.0分； 内容不完备、方案可行性差、不能全面符合要求得1.0-2.0分；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项目管理机构人员岗位完整，专业种类齐全，搭配合理，职位分明、有相应的技术能力。 人员配备合理、科学可行、完全符合要求得3.1-5.0分； 人员配备较合理、可行性一般，基本符合要求得2.1-3.0分； 人员配备不完备、可行性差、不能全面符合要求得1.0-2.0分；未提供不计分。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劳动力和材料投入计划</w:t>
            </w:r>
          </w:p>
        </w:tc>
        <w:tc>
          <w:tcPr>
            <w:tcW w:type="dxa" w:w="2492"/>
          </w:tcPr>
          <w:p>
            <w:pPr>
              <w:pStyle w:val="null3"/>
            </w:pPr>
            <w:r>
              <w:rPr>
                <w:rFonts w:ascii="仿宋_GB2312" w:hAnsi="仿宋_GB2312" w:cs="仿宋_GB2312" w:eastAsia="仿宋_GB2312"/>
              </w:rPr>
              <w:t>供应商针对本项目提供详细的劳动力和材料投入计划及其保证措施。措施完备，详细、可操作性强计3.1-5.0分； 措施基本合理、较详细、可操作性一般得2.1-3.0分； 措施欠缺或内容不完备得1.0-2.0分；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机械设备投入计划</w:t>
            </w:r>
          </w:p>
        </w:tc>
        <w:tc>
          <w:tcPr>
            <w:tcW w:type="dxa" w:w="2492"/>
          </w:tcPr>
          <w:p>
            <w:pPr>
              <w:pStyle w:val="null3"/>
            </w:pPr>
            <w:r>
              <w:rPr>
                <w:rFonts w:ascii="仿宋_GB2312" w:hAnsi="仿宋_GB2312" w:cs="仿宋_GB2312" w:eastAsia="仿宋_GB2312"/>
              </w:rPr>
              <w:t>供应商针对本项目提供满足项目施工需要，与项目施工进度相适应的机械设备投入计划。 计划完备，详细、可行性强计3.1-5.0分； 计划较合理、较详细、基本可行得2.1-3.0分； 计划欠缺或内容不完备得1.0-2.0分；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现场施工扬尘环境治理管理措施</w:t>
            </w:r>
          </w:p>
        </w:tc>
        <w:tc>
          <w:tcPr>
            <w:tcW w:type="dxa" w:w="2492"/>
          </w:tcPr>
          <w:p>
            <w:pPr>
              <w:pStyle w:val="null3"/>
            </w:pPr>
            <w:r>
              <w:rPr>
                <w:rFonts w:ascii="仿宋_GB2312" w:hAnsi="仿宋_GB2312" w:cs="仿宋_GB2312" w:eastAsia="仿宋_GB2312"/>
              </w:rPr>
              <w:t>供应商针对本项目提供符合本项目实际要求的现场施工扬尘环境治理管理措施。 现场扬尘管理措施合理、有详尽的扬尘控制措施并可达到国家控制的标准得3.1-5.0分； 现场扬尘管理措施较为合理得2.1-3.0分； 现场扬尘管理措施一般得1.0-2.0分；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供应商针对本项目提出新技术、新产品、新工艺、新材料应用，并提供采用新技术、新产品、新工艺、新材料对工程质量安全、缩短工期、降低成本的措施。 方案合理、详尽、满足项目需要得3.1-5.0分；方案较为合理得2.1-3.0分， 方案一般得1.0-2.0分，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供应商自2022年6月1日以来承担过类似项目业绩。（以合同签订日期或中标通知书签署日期为准)；每提供一项业绩得2分，最高得4分。须提供合同或中标通知书复印件并加盖公章，不提供不得分。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根据供应商提供的保修服务承诺及优化建议等方面的承诺措施其中包括工程保修期内的定期回访方案及维修方案， 方案完善、科学合理，针对性强、服务承诺明确，计3.1-5.0分； 方案较完善、合理可行、特点和承诺一般，计2.1-3.0分；方案不完备或不完全符合项目要求计1.0-2.0分；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 2.满足竞争性磋商文件实质性要求且最后报价最低的供应商的价格为磋商基准价，其价格分为满分30分。 3.磋商报价得分=（磋商基准价/磋商评审价）×30%*100的公式计算得分。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详见附件：磋商响应方案说明.docx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