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版本号：ZJXG202506920250711001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北教学楼改造项目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ZJXG2025069</w:t>
      </w:r>
      <w:r>
        <w:br/>
      </w:r>
      <w:r>
        <w:br/>
      </w:r>
      <w:r>
        <w:br/>
      </w:r>
    </w:p>
    <w:p>
      <w:pPr>
        <w:pStyle w:val="null3"/>
        <w:jc w:val="center"/>
        <w:outlineLvl w:val="2"/>
      </w:pPr>
      <w:r>
        <w:rPr>
          <w:rFonts w:ascii="仿宋_GB2312" w:hAnsi="仿宋_GB2312" w:cs="仿宋_GB2312" w:eastAsia="仿宋_GB2312"/>
          <w:sz w:val="28"/>
          <w:b/>
        </w:rPr>
        <w:t>西安市新城区黄河幼儿园</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西安市新城区黄河幼儿园</w:t>
      </w:r>
      <w:r>
        <w:rPr>
          <w:rFonts w:ascii="仿宋_GB2312" w:hAnsi="仿宋_GB2312" w:cs="仿宋_GB2312" w:eastAsia="仿宋_GB2312"/>
        </w:rPr>
        <w:t>委托，拟对</w:t>
      </w:r>
      <w:r>
        <w:rPr>
          <w:rFonts w:ascii="仿宋_GB2312" w:hAnsi="仿宋_GB2312" w:cs="仿宋_GB2312" w:eastAsia="仿宋_GB2312"/>
        </w:rPr>
        <w:t>北教学楼改造项目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ZJXG2025069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北教学楼改造项目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西安市新城区黄河幼儿园北教学楼改造项目，具体内容详见工程量清单及竞争性磋商文件。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采购包1（北教学楼改造项目）：属于专门面向中小企业采购。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有建设行政主管部门颁发的有效期内的建筑装修装饰工程专业承包二级及以上资质，且具备有效的安全生产许可证。供应商需在项目电子化交易系统中按要求上传相应证明文件并进行电子签章；</w:t>
      </w:r>
    </w:p>
    <w:p>
      <w:pPr>
        <w:pStyle w:val="null3"/>
      </w:pPr>
      <w:r>
        <w:rPr>
          <w:rFonts w:ascii="仿宋_GB2312" w:hAnsi="仿宋_GB2312" w:cs="仿宋_GB2312" w:eastAsia="仿宋_GB2312"/>
        </w:rPr>
        <w:t>9、拟派项目负责人要求：证书等级：二级及以上注册建造师证书 专业：建筑工程 补充说明：同时具备有效期内的安全生产考核合格证书（安B证），且无在建项目（提供承诺书）。供应商需在项目电子化交易系统中按要求上传相应证明文件并进行电子签章；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西安市新城区黄河幼儿园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西安市新城区长乐中路十四街坊2号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西安市新城区黄河幼儿园经办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029-83224097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采购包1：474,745.03元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 联系电话：029-88229191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西安市新城区黄河幼儿园</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西安市新城区黄河幼儿园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西安市新城区黄河幼儿园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474,745.03</w:t>
      </w:r>
    </w:p>
    <w:p>
      <w:pPr>
        <w:pStyle w:val="null3"/>
      </w:pPr>
      <w:r>
        <w:rPr>
          <w:rFonts w:ascii="仿宋_GB2312" w:hAnsi="仿宋_GB2312" w:cs="仿宋_GB2312" w:eastAsia="仿宋_GB2312"/>
        </w:rPr>
        <w:t>采购包最高限价（元）: 474,745.03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北教学楼改造项目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474,745.03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标的名称：北教学楼改造项目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西安市新城区黄河幼儿园北教学楼改造项目，具体内容详见工程量清单及竞争性磋商文件</w:t>
            </w:r>
            <w:r>
              <w:rPr>
                <w:rFonts w:ascii="仿宋_GB2312" w:hAnsi="仿宋_GB2312" w:cs="仿宋_GB2312" w:eastAsia="仿宋_GB2312"/>
              </w:rPr>
              <w:t>。</w:t>
            </w:r>
          </w:p>
          <w:p>
            <w:pPr>
              <w:pStyle w:val="null3"/>
            </w:pPr>
            <w:r>
              <w:rPr>
                <w:rFonts w:ascii="仿宋_GB2312" w:hAnsi="仿宋_GB2312" w:cs="仿宋_GB2312" w:eastAsia="仿宋_GB2312"/>
              </w:rPr>
              <w:t>二、工程内容和施工地点、计划工期</w:t>
            </w:r>
          </w:p>
          <w:p>
            <w:pPr>
              <w:pStyle w:val="null3"/>
            </w:pPr>
            <w:r>
              <w:rPr>
                <w:rFonts w:ascii="仿宋_GB2312" w:hAnsi="仿宋_GB2312" w:cs="仿宋_GB2312" w:eastAsia="仿宋_GB2312"/>
              </w:rPr>
              <w:t>1.工程内容：</w:t>
            </w:r>
            <w:r>
              <w:rPr>
                <w:rFonts w:ascii="仿宋_GB2312" w:hAnsi="仿宋_GB2312" w:cs="仿宋_GB2312" w:eastAsia="仿宋_GB2312"/>
              </w:rPr>
              <w:t>对学校部分教室的墙顶地面装修及灯具进行更换改造，对窗户进行更换及新做室外污水井、地沟清理等工程，详见工程量清单</w:t>
            </w:r>
            <w:r>
              <w:rPr>
                <w:rFonts w:ascii="仿宋_GB2312" w:hAnsi="仿宋_GB2312" w:cs="仿宋_GB2312" w:eastAsia="仿宋_GB2312"/>
              </w:rPr>
              <w:t>。</w:t>
            </w:r>
          </w:p>
          <w:p>
            <w:pPr>
              <w:pStyle w:val="null3"/>
            </w:pPr>
            <w:r>
              <w:rPr>
                <w:rFonts w:ascii="仿宋_GB2312" w:hAnsi="仿宋_GB2312" w:cs="仿宋_GB2312" w:eastAsia="仿宋_GB2312"/>
              </w:rPr>
              <w:t>2.工程地点：项目位于西安市新城区</w:t>
            </w:r>
          </w:p>
          <w:p>
            <w:pPr>
              <w:pStyle w:val="null3"/>
            </w:pPr>
            <w:r>
              <w:rPr>
                <w:rFonts w:ascii="仿宋_GB2312" w:hAnsi="仿宋_GB2312" w:cs="仿宋_GB2312" w:eastAsia="仿宋_GB2312"/>
              </w:rPr>
              <w:t>3.工期：自合同签订之日起30日历天内。</w:t>
            </w:r>
          </w:p>
          <w:p>
            <w:pPr>
              <w:pStyle w:val="null3"/>
            </w:pPr>
            <w:r>
              <w:rPr>
                <w:rFonts w:ascii="仿宋_GB2312" w:hAnsi="仿宋_GB2312" w:cs="仿宋_GB2312" w:eastAsia="仿宋_GB2312"/>
              </w:rPr>
              <w:t>三、工程量清单编制说明</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1.《陕西省建设工程工程量清单计价规则》（2009）及其配套文件；</w:t>
            </w:r>
          </w:p>
          <w:p>
            <w:pPr>
              <w:pStyle w:val="null3"/>
            </w:pPr>
            <w:r>
              <w:rPr>
                <w:rFonts w:ascii="仿宋_GB2312" w:hAnsi="仿宋_GB2312" w:cs="仿宋_GB2312" w:eastAsia="仿宋_GB2312"/>
              </w:rPr>
              <w:t>2.陕西省住房和城乡建设厅《关于调整我省建设工程计价依据的通知》陕建发〔2019〕45号文件；</w:t>
            </w:r>
          </w:p>
          <w:p>
            <w:pPr>
              <w:pStyle w:val="null3"/>
            </w:pPr>
            <w:r>
              <w:rPr>
                <w:rFonts w:ascii="仿宋_GB2312" w:hAnsi="仿宋_GB2312" w:cs="仿宋_GB2312" w:eastAsia="仿宋_GB2312"/>
              </w:rPr>
              <w:t>3.正常施工组织设计、施工方法及标准图集；</w:t>
            </w:r>
          </w:p>
          <w:p>
            <w:pPr>
              <w:pStyle w:val="null3"/>
            </w:pPr>
            <w:r>
              <w:rPr>
                <w:rFonts w:ascii="仿宋_GB2312" w:hAnsi="仿宋_GB2312" w:cs="仿宋_GB2312" w:eastAsia="仿宋_GB2312"/>
              </w:rPr>
              <w:t>4.依据西安市新城区黄河幼儿园北教学楼改造项目的施工图纸计算工程量；</w:t>
            </w:r>
          </w:p>
          <w:p>
            <w:pPr>
              <w:pStyle w:val="null3"/>
            </w:pPr>
            <w:r>
              <w:rPr>
                <w:rFonts w:ascii="仿宋_GB2312" w:hAnsi="仿宋_GB2312" w:cs="仿宋_GB2312" w:eastAsia="仿宋_GB2312"/>
              </w:rPr>
              <w:t>5.计价软件采用广联达云计价平台GCCP 6.0 版本：6.4100.23.122。</w:t>
            </w:r>
          </w:p>
          <w:p>
            <w:pPr>
              <w:pStyle w:val="null3"/>
            </w:pPr>
            <w:r>
              <w:rPr>
                <w:rFonts w:ascii="仿宋_GB2312" w:hAnsi="仿宋_GB2312" w:cs="仿宋_GB2312" w:eastAsia="仿宋_GB2312"/>
              </w:rPr>
              <w:t>（二）工程量清单：电子版另附。</w:t>
            </w:r>
          </w:p>
          <w:p>
            <w:pPr>
              <w:pStyle w:val="null3"/>
            </w:pPr>
            <w:r>
              <w:rPr>
                <w:rFonts w:ascii="仿宋_GB2312" w:hAnsi="仿宋_GB2312" w:cs="仿宋_GB2312" w:eastAsia="仿宋_GB2312"/>
              </w:rPr>
              <w:t>（三）图纸：电子版另附。</w:t>
            </w:r>
          </w:p>
          <w:p>
            <w:pPr>
              <w:pStyle w:val="null3"/>
            </w:pPr>
            <w:r>
              <w:rPr>
                <w:rFonts w:ascii="仿宋_GB2312" w:hAnsi="仿宋_GB2312" w:cs="仿宋_GB2312" w:eastAsia="仿宋_GB2312"/>
              </w:rPr>
              <w:t>四</w:t>
            </w:r>
            <w:r>
              <w:rPr>
                <w:rFonts w:ascii="仿宋_GB2312" w:hAnsi="仿宋_GB2312" w:cs="仿宋_GB2312" w:eastAsia="仿宋_GB2312"/>
              </w:rPr>
              <w:t>、其他说明</w:t>
            </w:r>
          </w:p>
          <w:p>
            <w:pPr>
              <w:pStyle w:val="null3"/>
            </w:pPr>
            <w:r>
              <w:rPr>
                <w:rFonts w:ascii="仿宋_GB2312" w:hAnsi="仿宋_GB2312" w:cs="仿宋_GB2312" w:eastAsia="仿宋_GB2312"/>
              </w:rPr>
              <w:t>1.本工程量清单所提供工程项目特征仅表达了主要工程做法，组价时应依据设计图纸、相关图集，结合招标文件，合同条款，技术规范、图纸、答疑纪要等进行组价。</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付款方式：</w:t>
            </w:r>
          </w:p>
          <w:p>
            <w:pPr>
              <w:pStyle w:val="null3"/>
            </w:pPr>
            <w:r>
              <w:rPr>
                <w:rFonts w:ascii="仿宋_GB2312" w:hAnsi="仿宋_GB2312" w:cs="仿宋_GB2312" w:eastAsia="仿宋_GB2312"/>
              </w:rPr>
              <w:t>1、付款条件说明：合同签订后，达到付款条件起30日内，支付合同总金额的40.00%。</w:t>
            </w:r>
          </w:p>
          <w:p>
            <w:pPr>
              <w:pStyle w:val="null3"/>
            </w:pPr>
            <w:r>
              <w:rPr>
                <w:rFonts w:ascii="仿宋_GB2312" w:hAnsi="仿宋_GB2312" w:cs="仿宋_GB2312" w:eastAsia="仿宋_GB2312"/>
              </w:rPr>
              <w:t>2、付款条件说明：工程全部竣工验收通过后，达到付款条件起30日内，支付合同总金额的50.00%。</w:t>
            </w:r>
          </w:p>
          <w:p>
            <w:pPr>
              <w:pStyle w:val="null3"/>
            </w:pPr>
            <w:r>
              <w:rPr>
                <w:rFonts w:ascii="仿宋_GB2312" w:hAnsi="仿宋_GB2312" w:cs="仿宋_GB2312" w:eastAsia="仿宋_GB2312"/>
              </w:rPr>
              <w:t>3、付款条件说明：工程审计结束后，达到付款条件起30日内，支付合同总金额的10.00%。</w:t>
            </w:r>
          </w:p>
          <w:p>
            <w:pPr>
              <w:pStyle w:val="null3"/>
            </w:pPr>
            <w:r>
              <w:rPr>
                <w:rFonts w:ascii="仿宋_GB2312" w:hAnsi="仿宋_GB2312" w:cs="仿宋_GB2312" w:eastAsia="仿宋_GB2312"/>
              </w:rPr>
              <w:t>质量要求：</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质量保修期：</w:t>
            </w:r>
          </w:p>
          <w:p>
            <w:pPr>
              <w:pStyle w:val="null3"/>
            </w:pPr>
            <w:r>
              <w:rPr>
                <w:rFonts w:ascii="仿宋_GB2312" w:hAnsi="仿宋_GB2312" w:cs="仿宋_GB2312" w:eastAsia="仿宋_GB2312"/>
              </w:rPr>
              <w:t>质量保修期其他工程为二年，防水工程为五年。</w:t>
            </w:r>
          </w:p>
          <w:p>
            <w:pPr>
              <w:pStyle w:val="null3"/>
              <w:jc w:val="both"/>
            </w:pPr>
            <w:r>
              <w:rPr>
                <w:rFonts w:ascii="仿宋_GB2312" w:hAnsi="仿宋_GB2312" w:cs="仿宋_GB2312" w:eastAsia="仿宋_GB2312"/>
                <w:sz w:val="21"/>
              </w:rPr>
              <w:t>质量保修期自验收合格之日起计算。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供应商具有建设行政主管部门颁发的有效期内的建筑装修装饰工程专业承包二级及以上资质，且具备有效的安全生产许可证。供应商需在项目电子化交易系统中按要求上传相应证明文件并进行电子签章；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证书等级：二级及以上注册建造师证书 专业：建筑工程 补充说明：同时具备有效期内的安全生产考核合格证书（安B证），且无在建项目（提供承诺书）。供应商需在项目电子化交易系统中按要求上传相应证明文件并进行电子签章；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语言和计量单位</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 xml:space="preserve"> 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提供的投标产品中每有一项为节能产品（非强制类）经国家认证的得0.5分，每有一项为环境标志产品经国家认证的得0.5分，供应商投标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对该项目实施的重点、难点进行分析，对易发生质量通病、易出现安全问题、施工难度大、技术含量高的部分进行说明并给出施工保障措施和专项技术方案（含主要施工方法、组织措施、检验手段等）。 内容合理、方案具体可行、完全符合要求得7.1-10.0分； 内容较合理、方案可行性一般，基本符合要求得4.1-7.0分； 内容不完备、方案可行性差、不能全面符合要求得1.0-4.0分；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分析本项目进度目标及关键节点，同时针对关键节点、具体环节提出相应进度保障措施，并根据本项目的工期要求，提供全面的确保工程按期按质完成的进度计划安排。 整体进度安排（施工进度表或施工网络图）及各阶段进度保证措施内容合理、方案具体可行、完全符合要求得5.1-7.0分； 内容较合理、方案可行性一般，基本符合要求得3.1-5.0分； 内容不完备、方案可行性差、不能全面符合要求得1.0-3.0分； 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针对本项目制定切实可行的总体质量控制目标，且对质量控制目标进行合理分解、规划，确保本项目质量标准符合相关标准。 内容合理、方案具体可行、完全符合要求得5.1-7.0分； 内容较合理、方案可行性一般，基本符合要求得3.1-5.0分； 内容不完备、方案可行性差、不能全面符合要求得1.0-3.0分；未提供不计分。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针对本项目制定切实可行的人工、材料、设备的组织方案、给出有针对性的施工应急预案。 内容合理、方案具体可行、完全符合要求得3.1-5.0分； 内容较合理、方案可行性一般，基本符合要求得2.1-3.0分； 内容不完备、方案可行性差、不能全面符合要求得1.0-2.0分；未提供不计分。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结合工程环境、特点分析安全隐患，给出有针对性的安全生产、文明施工、环保施工、防尘降噪等保证措施。 安全文明、环保保证体系组织措施和控制点设置合理，内容合理、方案具体可行、完全符合要求得3.1-5.0分； 内容较合理、方案可行性一般，基本符合要求得2.1-3.0分； 内容不完备、方案可行性差、不能全面符合要求得1.0-2.0分；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项目管理机构人员岗位完整，专业种类齐全，搭配合理，职位分明、有相应的技术能力。 人员配备合理、科学可行、完全符合要求得3.1-5.0分； 人员配备较合理、可行性一般，基本符合要求得2.1-3.0分； 人员配备不完备、可行性差、不能全面符合要求得1.0-2.0分；未提供不计分。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劳动力和材料投入计划</w:t>
            </w:r>
          </w:p>
        </w:tc>
        <w:tc>
          <w:tcPr>
            <w:tcW w:type="dxa" w:w="2492"/>
          </w:tcPr>
          <w:p>
            <w:pPr>
              <w:pStyle w:val="null3"/>
            </w:pPr>
            <w:r>
              <w:rPr>
                <w:rFonts w:ascii="仿宋_GB2312" w:hAnsi="仿宋_GB2312" w:cs="仿宋_GB2312" w:eastAsia="仿宋_GB2312"/>
              </w:rPr>
              <w:t>供应商针对本项目提供详细的劳动力和材料投入计划及其保证措施。措施完备，详细、可操作性强计3.1-5.0分； 措施基本合理、较详细、可操作性一般得2.1-3.0分； 措施欠缺或内容不完备得1.0-2.0分；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机械设备投入计划</w:t>
            </w:r>
          </w:p>
        </w:tc>
        <w:tc>
          <w:tcPr>
            <w:tcW w:type="dxa" w:w="2492"/>
          </w:tcPr>
          <w:p>
            <w:pPr>
              <w:pStyle w:val="null3"/>
            </w:pPr>
            <w:r>
              <w:rPr>
                <w:rFonts w:ascii="仿宋_GB2312" w:hAnsi="仿宋_GB2312" w:cs="仿宋_GB2312" w:eastAsia="仿宋_GB2312"/>
              </w:rPr>
              <w:t>供应商针对本项目提供满足项目施工需要，与项目施工进度相适应的机械设备投入计划。 计划完备，详细、可行性强计3.1-5.0分； 计划较合理、较详细、基本可行得2.1-3.0分； 计划欠缺或内容不完备得1.0-2.0分；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现场施工扬尘环境治理管理措施</w:t>
            </w:r>
          </w:p>
        </w:tc>
        <w:tc>
          <w:tcPr>
            <w:tcW w:type="dxa" w:w="2492"/>
          </w:tcPr>
          <w:p>
            <w:pPr>
              <w:pStyle w:val="null3"/>
            </w:pPr>
            <w:r>
              <w:rPr>
                <w:rFonts w:ascii="仿宋_GB2312" w:hAnsi="仿宋_GB2312" w:cs="仿宋_GB2312" w:eastAsia="仿宋_GB2312"/>
              </w:rPr>
              <w:t>供应商针对本项目提供符合本项目实际要求的现场施工扬尘环境治理管理措施。 现场扬尘管理措施合理、有详尽的扬尘控制措施并可达到国家控制的标准得3.1-5.0分； 现场扬尘管理措施较为合理得2.1-3.0分； 现场扬尘管理措施一般得1.0-2.0分；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供应商针对本项目提出新技术、新产品、新工艺、新材料应用，并提供采用新技术、新产品、新工艺、新材料对工程质量安全、缩短工期、降低成本的措施。 方案合理、详尽、满足项目需要得3.1-5.0分；方案较为合理得2.1-3.0分， 方案一般得1.0-2.0分，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根据供应商提供的保修服务承诺及优化建议等方面的承诺措施其中包括工程保修期内的定期回访方案及维修方案， 方案完善、科学合理，针对性强、服务承诺明确，计3.1-5.0分； 方案较完善、合理可行、特点和承诺一般，计2.1-3.0分；方案不完备或不完全符合项目要求计1.0-2.0分；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供应商自2022年7月1日以来承担过类似项目业绩。（以合同签订日期或中标通知书签署日期为准)；每提供一项业绩得2分，最高得4分。须提供合同或中标通知书复印件并加盖公章，不提供不得分。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 xml:space="preserve"> 1.经资格审查、符合性审查合格的竞争性磋商响应文件，其磋商报价为有效磋商报价。 2.满足竞争性磋商文件实质性要求且最后报价最低的供应商的价格为磋商基准价，其价格分为满分30分。 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