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版本号：LZBE2025-109220250702001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教学楼外立面及楼内改造工程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LZBE2025-1092</w:t>
      </w:r>
      <w:r>
        <w:br/>
      </w:r>
      <w:r>
        <w:br/>
      </w:r>
      <w:r>
        <w:br/>
      </w:r>
    </w:p>
    <w:p>
      <w:pPr>
        <w:pStyle w:val="null3"/>
        <w:jc w:val="center"/>
        <w:outlineLvl w:val="2"/>
      </w:pPr>
      <w:r>
        <w:rPr>
          <w:rFonts w:ascii="仿宋_GB2312" w:hAnsi="仿宋_GB2312" w:cs="仿宋_GB2312" w:eastAsia="仿宋_GB2312"/>
          <w:sz w:val="28"/>
          <w:b/>
        </w:rPr>
        <w:t>西安市新城区昆仑小学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西安市新城区昆仑小学</w:t>
      </w:r>
      <w:r>
        <w:rPr>
          <w:rFonts w:ascii="仿宋_GB2312" w:hAnsi="仿宋_GB2312" w:cs="仿宋_GB2312" w:eastAsia="仿宋_GB2312"/>
        </w:rPr>
        <w:t>委托，拟对</w:t>
      </w:r>
      <w:r>
        <w:rPr>
          <w:rFonts w:ascii="仿宋_GB2312" w:hAnsi="仿宋_GB2312" w:cs="仿宋_GB2312" w:eastAsia="仿宋_GB2312"/>
        </w:rPr>
        <w:t>教学楼外立面及楼内改造工程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LZBE2025-1092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教学楼外立面及楼内改造工程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西安市新城区昆仑小学教学楼外立面及楼内改造工程，施工内容详见工程量清单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采购包1（西安市新城区昆仑小学教学楼外立面及楼内改造工程）：属于专门面向中小企业采购。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身份证明文件：法定代表人（单位负责人）授权委托书（附法定代表人（单位负责人）、被授权人身份证复印件及被授权人近三个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p>
      <w:pPr>
        <w:pStyle w:val="null3"/>
      </w:pPr>
      <w:r>
        <w:rPr>
          <w:rFonts w:ascii="仿宋_GB2312" w:hAnsi="仿宋_GB2312" w:cs="仿宋_GB2312" w:eastAsia="仿宋_GB2312"/>
        </w:rPr>
        <w:t>3、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4、财务状况：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7、供应商资质要求：供应商须具有建筑工程施工总承包三级及以上资质及有效的安全生产许可证，供应商需在项目电子化交易系统中按要求上传相应证明文件并进行电子签章</w:t>
      </w:r>
    </w:p>
    <w:p>
      <w:pPr>
        <w:pStyle w:val="null3"/>
      </w:pPr>
      <w:r>
        <w:rPr>
          <w:rFonts w:ascii="仿宋_GB2312" w:hAnsi="仿宋_GB2312" w:cs="仿宋_GB2312" w:eastAsia="仿宋_GB2312"/>
        </w:rPr>
        <w:t>8、拟派项目经理证书：供应商拟派项目经理具有本企业注册的建筑工程专业二级及以上注册建造师证书及安全考核合格证,且无在建（无在建承诺格式及内容自拟），供应商需在项目电子化交易系统中按要求上传相应证明文件并进行电子签章</w:t>
      </w:r>
    </w:p>
    <w:p>
      <w:pPr>
        <w:pStyle w:val="null3"/>
      </w:pPr>
      <w:r>
        <w:rPr>
          <w:rFonts w:ascii="仿宋_GB2312" w:hAnsi="仿宋_GB2312" w:cs="仿宋_GB2312" w:eastAsia="仿宋_GB2312"/>
        </w:rPr>
        <w:t>9、其他要求：单位负责人为同一人或者存在直接控股、管理关系的不同供应商不得参加同一合同项下的政府采购活动；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西安市新城区昆仑小学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新城区公园北路55号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029-82555174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潘乐、孙承国、刘强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029-88228899-655、650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采购包1：2,252,938.99元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代理服务费收费标准：1、本项目采购代理服务费以成交价作为收费基数，参照计价格[2002]1980号、发改价格[2011]534号、发改办价格〔2003〕857号中工程类执行。 2、成交单位在领取成交通知书之前，须向采购代理机构支付招标代理服务费。招标代理服务费以转账或现金形式缴纳至以下账户：开户名称：龙寰项目管理咨询有限公司；开户银行：平安银行西安高新路支行；账号：30201278017024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西安市新城区昆仑小学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西安市新城区昆仑小学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西安市新城区昆仑小学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满足采购文件要求，符合国家现行有关施工质量验收规范“合格”标准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联系人：潘乐、孙承国、刘强</w:t>
      </w:r>
    </w:p>
    <w:p>
      <w:pPr>
        <w:pStyle w:val="null3"/>
      </w:pPr>
      <w:r>
        <w:rPr>
          <w:rFonts w:ascii="仿宋_GB2312" w:hAnsi="仿宋_GB2312" w:cs="仿宋_GB2312" w:eastAsia="仿宋_GB2312"/>
        </w:rPr>
        <w:t>联系电话：029-88228899-655、650</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2,252,938.99</w:t>
      </w:r>
    </w:p>
    <w:p>
      <w:pPr>
        <w:pStyle w:val="null3"/>
      </w:pPr>
      <w:r>
        <w:rPr>
          <w:rFonts w:ascii="仿宋_GB2312" w:hAnsi="仿宋_GB2312" w:cs="仿宋_GB2312" w:eastAsia="仿宋_GB2312"/>
        </w:rPr>
        <w:t>采购包最高限价（元）: 2,252,938.99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教学楼外立面及楼内改造工程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2,252,938.99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标的名称：教学楼外立面及楼内改造工程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jc w:val="both"/>
            </w:pPr>
            <w:r>
              <w:rPr>
                <w:rFonts w:ascii="仿宋_GB2312" w:hAnsi="仿宋_GB2312" w:cs="仿宋_GB2312" w:eastAsia="仿宋_GB2312"/>
              </w:rPr>
              <w:t>工程概况：西安市昆仑小学教学楼外立面及楼内改造工程</w:t>
            </w:r>
            <w:r>
              <w:rPr>
                <w:rFonts w:ascii="仿宋_GB2312" w:hAnsi="仿宋_GB2312" w:cs="仿宋_GB2312" w:eastAsia="仿宋_GB2312"/>
              </w:rPr>
              <w:t>内容为：外门窗拆除、外立面改造、走廊改造及其余改造。</w:t>
            </w:r>
          </w:p>
          <w:p>
            <w:pPr>
              <w:pStyle w:val="null3"/>
              <w:jc w:val="both"/>
            </w:pPr>
            <w:r>
              <w:rPr>
                <w:rFonts w:ascii="仿宋_GB2312" w:hAnsi="仿宋_GB2312" w:cs="仿宋_GB2312" w:eastAsia="仿宋_GB2312"/>
              </w:rPr>
              <w:t>二、编制范围</w:t>
            </w:r>
          </w:p>
          <w:p>
            <w:pPr>
              <w:pStyle w:val="null3"/>
              <w:jc w:val="both"/>
            </w:pPr>
            <w:r>
              <w:rPr>
                <w:rFonts w:ascii="仿宋_GB2312" w:hAnsi="仿宋_GB2312" w:cs="仿宋_GB2312" w:eastAsia="仿宋_GB2312"/>
              </w:rPr>
              <w:t>1、本工程的施工图设计包括建筑专业。</w:t>
            </w:r>
          </w:p>
          <w:p>
            <w:pPr>
              <w:pStyle w:val="null3"/>
              <w:jc w:val="both"/>
            </w:pPr>
            <w:r>
              <w:rPr>
                <w:rFonts w:ascii="仿宋_GB2312" w:hAnsi="仿宋_GB2312" w:cs="仿宋_GB2312" w:eastAsia="仿宋_GB2312"/>
              </w:rPr>
              <w:t>三、编制依据</w:t>
            </w:r>
          </w:p>
          <w:p>
            <w:pPr>
              <w:pStyle w:val="null3"/>
              <w:jc w:val="both"/>
            </w:pPr>
            <w:r>
              <w:rPr>
                <w:rFonts w:ascii="仿宋_GB2312" w:hAnsi="仿宋_GB2312" w:cs="仿宋_GB2312" w:eastAsia="仿宋_GB2312"/>
              </w:rPr>
              <w:t>1、西安市昆仑小学教学楼外立面及楼内改造工程及相关标准图。</w:t>
            </w:r>
          </w:p>
          <w:p>
            <w:pPr>
              <w:pStyle w:val="null3"/>
              <w:jc w:val="both"/>
            </w:pPr>
            <w:r>
              <w:rPr>
                <w:rFonts w:ascii="仿宋_GB2312" w:hAnsi="仿宋_GB2312" w:cs="仿宋_GB2312" w:eastAsia="仿宋_GB2312"/>
              </w:rPr>
              <w:t>2、清单规则及定额</w:t>
            </w:r>
          </w:p>
          <w:p>
            <w:pPr>
              <w:pStyle w:val="null3"/>
              <w:jc w:val="both"/>
            </w:pPr>
            <w:r>
              <w:rPr>
                <w:rFonts w:ascii="仿宋_GB2312" w:hAnsi="仿宋_GB2312" w:cs="仿宋_GB2312" w:eastAsia="仿宋_GB2312"/>
              </w:rPr>
              <w:t>《陕西省建设工程工程量清单计价规则（</w:t>
            </w:r>
            <w:r>
              <w:rPr>
                <w:rFonts w:ascii="仿宋_GB2312" w:hAnsi="仿宋_GB2312" w:cs="仿宋_GB2312" w:eastAsia="仿宋_GB2312"/>
              </w:rPr>
              <w:t>2009）》</w:t>
            </w:r>
          </w:p>
          <w:p>
            <w:pPr>
              <w:pStyle w:val="null3"/>
              <w:jc w:val="both"/>
            </w:pPr>
            <w:r>
              <w:rPr>
                <w:rFonts w:ascii="仿宋_GB2312" w:hAnsi="仿宋_GB2312" w:cs="仿宋_GB2312" w:eastAsia="仿宋_GB2312"/>
              </w:rPr>
              <w:t>《陕西省建设工程工程量清单计价费率（</w:t>
            </w:r>
            <w:r>
              <w:rPr>
                <w:rFonts w:ascii="仿宋_GB2312" w:hAnsi="仿宋_GB2312" w:cs="仿宋_GB2312" w:eastAsia="仿宋_GB2312"/>
              </w:rPr>
              <w:t>2009）》</w:t>
            </w:r>
          </w:p>
          <w:p>
            <w:pPr>
              <w:pStyle w:val="null3"/>
              <w:jc w:val="both"/>
            </w:pPr>
            <w:r>
              <w:rPr>
                <w:rFonts w:ascii="仿宋_GB2312" w:hAnsi="仿宋_GB2312" w:cs="仿宋_GB2312" w:eastAsia="仿宋_GB2312"/>
              </w:rPr>
              <w:t>《陕西省建筑工程消耗量定额（</w:t>
            </w:r>
            <w:r>
              <w:rPr>
                <w:rFonts w:ascii="仿宋_GB2312" w:hAnsi="仿宋_GB2312" w:cs="仿宋_GB2312" w:eastAsia="仿宋_GB2312"/>
              </w:rPr>
              <w:t>2004）》及补充定额</w:t>
            </w:r>
          </w:p>
          <w:p>
            <w:pPr>
              <w:pStyle w:val="null3"/>
              <w:jc w:val="both"/>
            </w:pPr>
            <w:r>
              <w:rPr>
                <w:rFonts w:ascii="仿宋_GB2312" w:hAnsi="仿宋_GB2312" w:cs="仿宋_GB2312" w:eastAsia="仿宋_GB2312"/>
              </w:rPr>
              <w:t>《陕西省安装工程消耗量定额（</w:t>
            </w:r>
            <w:r>
              <w:rPr>
                <w:rFonts w:ascii="仿宋_GB2312" w:hAnsi="仿宋_GB2312" w:cs="仿宋_GB2312" w:eastAsia="仿宋_GB2312"/>
              </w:rPr>
              <w:t>2004）》及补充定额</w:t>
            </w:r>
          </w:p>
          <w:p>
            <w:pPr>
              <w:pStyle w:val="null3"/>
              <w:jc w:val="both"/>
            </w:pPr>
            <w:r>
              <w:rPr>
                <w:rFonts w:ascii="仿宋_GB2312" w:hAnsi="仿宋_GB2312" w:cs="仿宋_GB2312" w:eastAsia="仿宋_GB2312"/>
              </w:rPr>
              <w:t>《陕西省安装工程工程价目表（</w:t>
            </w:r>
            <w:r>
              <w:rPr>
                <w:rFonts w:ascii="仿宋_GB2312" w:hAnsi="仿宋_GB2312" w:cs="仿宋_GB2312" w:eastAsia="仿宋_GB2312"/>
              </w:rPr>
              <w:t>2009）》</w:t>
            </w:r>
          </w:p>
          <w:p>
            <w:pPr>
              <w:pStyle w:val="null3"/>
              <w:jc w:val="both"/>
            </w:pPr>
            <w:r>
              <w:rPr>
                <w:rFonts w:ascii="仿宋_GB2312" w:hAnsi="仿宋_GB2312" w:cs="仿宋_GB2312" w:eastAsia="仿宋_GB2312"/>
              </w:rPr>
              <w:t>3、相关规程：</w:t>
            </w:r>
          </w:p>
          <w:p>
            <w:pPr>
              <w:pStyle w:val="null3"/>
              <w:jc w:val="both"/>
            </w:pPr>
            <w:r>
              <w:rPr>
                <w:rFonts w:ascii="仿宋_GB2312" w:hAnsi="仿宋_GB2312" w:cs="仿宋_GB2312" w:eastAsia="仿宋_GB2312"/>
              </w:rPr>
              <w:t>《建设工程招标控制价编审程序（</w:t>
            </w:r>
            <w:r>
              <w:rPr>
                <w:rFonts w:ascii="仿宋_GB2312" w:hAnsi="仿宋_GB2312" w:cs="仿宋_GB2312" w:eastAsia="仿宋_GB2312"/>
              </w:rPr>
              <w:t>CECA/GC6-2011）》</w:t>
            </w:r>
          </w:p>
          <w:p>
            <w:pPr>
              <w:pStyle w:val="null3"/>
              <w:jc w:val="both"/>
            </w:pPr>
            <w:r>
              <w:rPr>
                <w:rFonts w:ascii="仿宋_GB2312" w:hAnsi="仿宋_GB2312" w:cs="仿宋_GB2312" w:eastAsia="仿宋_GB2312"/>
              </w:rPr>
              <w:t>4</w:t>
            </w:r>
            <w:r>
              <w:rPr>
                <w:rFonts w:ascii="仿宋_GB2312" w:hAnsi="仿宋_GB2312" w:cs="仿宋_GB2312" w:eastAsia="仿宋_GB2312"/>
              </w:rPr>
              <w:t>、人工费：</w:t>
            </w:r>
          </w:p>
          <w:p>
            <w:pPr>
              <w:pStyle w:val="null3"/>
              <w:jc w:val="both"/>
            </w:pPr>
            <w:r>
              <w:rPr>
                <w:rFonts w:ascii="仿宋_GB2312" w:hAnsi="仿宋_GB2312" w:cs="仿宋_GB2312" w:eastAsia="仿宋_GB2312"/>
              </w:rPr>
              <w:t>（</w:t>
            </w:r>
            <w:r>
              <w:rPr>
                <w:rFonts w:ascii="仿宋_GB2312" w:hAnsi="仿宋_GB2312" w:cs="仿宋_GB2312" w:eastAsia="仿宋_GB2312"/>
              </w:rPr>
              <w:t>1）人工费单价文件：《关于调整房屋建筑和市政基础设施工程工程量清单计价综合人工单价的通知》（陕建发[2021]1097号）文件。</w:t>
            </w:r>
          </w:p>
          <w:p>
            <w:pPr>
              <w:pStyle w:val="null3"/>
              <w:jc w:val="both"/>
            </w:pPr>
            <w:r>
              <w:rPr>
                <w:rFonts w:ascii="仿宋_GB2312" w:hAnsi="仿宋_GB2312" w:cs="仿宋_GB2312" w:eastAsia="仿宋_GB2312"/>
              </w:rPr>
              <w:t>（</w:t>
            </w:r>
            <w:r>
              <w:rPr>
                <w:rFonts w:ascii="仿宋_GB2312" w:hAnsi="仿宋_GB2312" w:cs="仿宋_GB2312" w:eastAsia="仿宋_GB2312"/>
              </w:rPr>
              <w:t>2）人工费按差价计入。</w:t>
            </w:r>
          </w:p>
          <w:p>
            <w:pPr>
              <w:pStyle w:val="null3"/>
              <w:jc w:val="both"/>
            </w:pPr>
            <w:r>
              <w:rPr>
                <w:rFonts w:ascii="仿宋_GB2312" w:hAnsi="仿宋_GB2312" w:cs="仿宋_GB2312" w:eastAsia="仿宋_GB2312"/>
              </w:rPr>
              <w:t>5</w:t>
            </w:r>
            <w:r>
              <w:rPr>
                <w:rFonts w:ascii="仿宋_GB2312" w:hAnsi="仿宋_GB2312" w:cs="仿宋_GB2312" w:eastAsia="仿宋_GB2312"/>
              </w:rPr>
              <w:t>、材料价格：</w:t>
            </w:r>
          </w:p>
          <w:p>
            <w:pPr>
              <w:pStyle w:val="null3"/>
              <w:jc w:val="both"/>
            </w:pPr>
            <w:r>
              <w:rPr>
                <w:rFonts w:ascii="仿宋_GB2312" w:hAnsi="仿宋_GB2312" w:cs="仿宋_GB2312" w:eastAsia="仿宋_GB2312"/>
              </w:rPr>
              <w:t>参考《陕西工程造价信息》</w:t>
            </w:r>
            <w:r>
              <w:rPr>
                <w:rFonts w:ascii="仿宋_GB2312" w:hAnsi="仿宋_GB2312" w:cs="仿宋_GB2312" w:eastAsia="仿宋_GB2312"/>
              </w:rPr>
              <w:t>2025年第</w:t>
            </w:r>
            <w:r>
              <w:rPr>
                <w:rFonts w:ascii="仿宋_GB2312" w:hAnsi="仿宋_GB2312" w:cs="仿宋_GB2312" w:eastAsia="仿宋_GB2312"/>
              </w:rPr>
              <w:t>04</w:t>
            </w:r>
            <w:r>
              <w:rPr>
                <w:rFonts w:ascii="仿宋_GB2312" w:hAnsi="仿宋_GB2312" w:cs="仿宋_GB2312" w:eastAsia="仿宋_GB2312"/>
              </w:rPr>
              <w:t>期；</w:t>
            </w:r>
          </w:p>
          <w:p>
            <w:pPr>
              <w:pStyle w:val="null3"/>
              <w:jc w:val="both"/>
            </w:pPr>
            <w:r>
              <w:rPr>
                <w:rFonts w:ascii="仿宋_GB2312" w:hAnsi="仿宋_GB2312" w:cs="仿宋_GB2312" w:eastAsia="仿宋_GB2312"/>
              </w:rPr>
              <w:t>6</w:t>
            </w:r>
            <w:r>
              <w:rPr>
                <w:rFonts w:ascii="仿宋_GB2312" w:hAnsi="仿宋_GB2312" w:cs="仿宋_GB2312" w:eastAsia="仿宋_GB2312"/>
              </w:rPr>
              <w:t>、规费：执行陕西省建设工程工程量清单计价费率（</w:t>
            </w:r>
            <w:r>
              <w:rPr>
                <w:rFonts w:ascii="仿宋_GB2312" w:hAnsi="仿宋_GB2312" w:cs="仿宋_GB2312" w:eastAsia="仿宋_GB2312"/>
              </w:rPr>
              <w:t>2009）</w:t>
            </w:r>
          </w:p>
          <w:p>
            <w:pPr>
              <w:pStyle w:val="null3"/>
              <w:jc w:val="both"/>
            </w:pPr>
            <w:r>
              <w:rPr>
                <w:rFonts w:ascii="仿宋_GB2312" w:hAnsi="仿宋_GB2312" w:cs="仿宋_GB2312" w:eastAsia="仿宋_GB2312"/>
              </w:rPr>
              <w:t>（</w:t>
            </w:r>
            <w:r>
              <w:rPr>
                <w:rFonts w:ascii="仿宋_GB2312" w:hAnsi="仿宋_GB2312" w:cs="仿宋_GB2312" w:eastAsia="仿宋_GB2312"/>
              </w:rPr>
              <w:t>1）扬尘措施费：执行《关于增加建设工程扬尘治理专项措施费及综合人工单价调整的通知》（陕建发[2017]270号）</w:t>
            </w:r>
          </w:p>
          <w:p>
            <w:pPr>
              <w:pStyle w:val="null3"/>
              <w:jc w:val="both"/>
            </w:pPr>
            <w:r>
              <w:rPr>
                <w:rFonts w:ascii="仿宋_GB2312" w:hAnsi="仿宋_GB2312" w:cs="仿宋_GB2312" w:eastAsia="仿宋_GB2312"/>
              </w:rPr>
              <w:t>（</w:t>
            </w:r>
            <w:r>
              <w:rPr>
                <w:rFonts w:ascii="仿宋_GB2312" w:hAnsi="仿宋_GB2312" w:cs="仿宋_GB2312" w:eastAsia="仿宋_GB2312"/>
              </w:rPr>
              <w:t>2）养老保险（劳保统筹基金）：费率3.55%。</w:t>
            </w:r>
          </w:p>
          <w:p>
            <w:pPr>
              <w:pStyle w:val="null3"/>
              <w:jc w:val="both"/>
            </w:pPr>
            <w:r>
              <w:rPr>
                <w:rFonts w:ascii="仿宋_GB2312" w:hAnsi="仿宋_GB2312" w:cs="仿宋_GB2312" w:eastAsia="仿宋_GB2312"/>
              </w:rPr>
              <w:t>7</w:t>
            </w:r>
            <w:r>
              <w:rPr>
                <w:rFonts w:ascii="仿宋_GB2312" w:hAnsi="仿宋_GB2312" w:cs="仿宋_GB2312" w:eastAsia="仿宋_GB2312"/>
              </w:rPr>
              <w:t>、税金、综合系数：执行《关于调整陕西省建设工程计价依据的通知》（陕建发</w:t>
            </w:r>
            <w:r>
              <w:rPr>
                <w:rFonts w:ascii="仿宋_GB2312" w:hAnsi="仿宋_GB2312" w:cs="仿宋_GB2312" w:eastAsia="仿宋_GB2312"/>
              </w:rPr>
              <w:t>[2019]45号）文件。</w:t>
            </w:r>
          </w:p>
          <w:p>
            <w:pPr>
              <w:pStyle w:val="null3"/>
              <w:jc w:val="both"/>
            </w:pPr>
            <w:r>
              <w:rPr>
                <w:rFonts w:ascii="仿宋_GB2312" w:hAnsi="仿宋_GB2312" w:cs="仿宋_GB2312" w:eastAsia="仿宋_GB2312"/>
              </w:rPr>
              <w:t>8</w:t>
            </w:r>
            <w:r>
              <w:rPr>
                <w:rFonts w:ascii="仿宋_GB2312" w:hAnsi="仿宋_GB2312" w:cs="仿宋_GB2312" w:eastAsia="仿宋_GB2312"/>
              </w:rPr>
              <w:t>、建筑工人实名制费用执行陕建发</w:t>
            </w:r>
            <w:r>
              <w:rPr>
                <w:rFonts w:ascii="仿宋_GB2312" w:hAnsi="仿宋_GB2312" w:cs="仿宋_GB2312" w:eastAsia="仿宋_GB2312"/>
              </w:rPr>
              <w:t>[2019]1246号文。</w:t>
            </w:r>
          </w:p>
          <w:p>
            <w:pPr>
              <w:pStyle w:val="null3"/>
              <w:jc w:val="both"/>
            </w:pPr>
            <w:r>
              <w:rPr>
                <w:rFonts w:ascii="仿宋_GB2312" w:hAnsi="仿宋_GB2312" w:cs="仿宋_GB2312" w:eastAsia="仿宋_GB2312"/>
              </w:rPr>
              <w:t>9</w:t>
            </w:r>
            <w:r>
              <w:rPr>
                <w:rFonts w:ascii="仿宋_GB2312" w:hAnsi="仿宋_GB2312" w:cs="仿宋_GB2312" w:eastAsia="仿宋_GB2312"/>
              </w:rPr>
              <w:t>、关于建筑施工安全生产责任保险费用执行陕建发〔</w:t>
            </w:r>
            <w:r>
              <w:rPr>
                <w:rFonts w:ascii="仿宋_GB2312" w:hAnsi="仿宋_GB2312" w:cs="仿宋_GB2312" w:eastAsia="仿宋_GB2312"/>
              </w:rPr>
              <w:t>2020〕1097号文。</w:t>
            </w:r>
          </w:p>
          <w:p>
            <w:pPr>
              <w:pStyle w:val="null3"/>
              <w:jc w:val="both"/>
            </w:pP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、其他：</w:t>
            </w:r>
          </w:p>
          <w:p>
            <w:pPr>
              <w:pStyle w:val="null3"/>
              <w:jc w:val="both"/>
            </w:pPr>
            <w:r>
              <w:rPr>
                <w:rFonts w:ascii="仿宋_GB2312" w:hAnsi="仿宋_GB2312" w:cs="仿宋_GB2312" w:eastAsia="仿宋_GB2312"/>
              </w:rPr>
              <w:t>（</w:t>
            </w:r>
            <w:r>
              <w:rPr>
                <w:rFonts w:ascii="仿宋_GB2312" w:hAnsi="仿宋_GB2312" w:cs="仿宋_GB2312" w:eastAsia="仿宋_GB2312"/>
              </w:rPr>
              <w:t>1）本工程按商品混凝土、预拌干混砂浆、熟石灰进行计价。</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）垃圾外运价格根据《西安市物价局西安市城市管理局关于发布西安市建筑垃圾处理收费指导标准的通知》。</w:t>
            </w:r>
          </w:p>
          <w:p>
            <w:pPr>
              <w:pStyle w:val="null3"/>
              <w:jc w:val="both"/>
            </w:pPr>
            <w:r>
              <w:rPr>
                <w:rFonts w:ascii="仿宋_GB2312" w:hAnsi="仿宋_GB2312" w:cs="仿宋_GB2312" w:eastAsia="仿宋_GB2312"/>
              </w:rPr>
              <w:t>四、计价软件</w:t>
            </w:r>
          </w:p>
          <w:p>
            <w:pPr>
              <w:pStyle w:val="null3"/>
              <w:jc w:val="both"/>
            </w:pPr>
            <w:r>
              <w:rPr>
                <w:rFonts w:ascii="仿宋_GB2312" w:hAnsi="仿宋_GB2312" w:cs="仿宋_GB2312" w:eastAsia="仿宋_GB2312"/>
              </w:rPr>
              <w:t>1、计价软件采用广联达云计价平台GCCP6.0，版本号6.4100.23.122。</w:t>
            </w:r>
          </w:p>
          <w:p>
            <w:pPr>
              <w:pStyle w:val="null3"/>
              <w:jc w:val="both"/>
            </w:pPr>
            <w:r>
              <w:rPr>
                <w:rFonts w:ascii="仿宋_GB2312" w:hAnsi="仿宋_GB2312" w:cs="仿宋_GB2312" w:eastAsia="仿宋_GB2312"/>
              </w:rPr>
              <w:t>2、地区标准陕西省2009计价规则[陕西省评标标准接口2016]</w:t>
            </w:r>
          </w:p>
          <w:p>
            <w:pPr>
              <w:pStyle w:val="null3"/>
              <w:jc w:val="both"/>
            </w:pPr>
            <w:r>
              <w:rPr>
                <w:rFonts w:ascii="仿宋_GB2312" w:hAnsi="仿宋_GB2312" w:cs="仿宋_GB2312" w:eastAsia="仿宋_GB2312"/>
              </w:rPr>
              <w:t>五、其他</w:t>
            </w:r>
          </w:p>
          <w:p>
            <w:pPr>
              <w:pStyle w:val="null3"/>
              <w:jc w:val="both"/>
            </w:pPr>
            <w:r>
              <w:rPr>
                <w:rFonts w:ascii="仿宋_GB2312" w:hAnsi="仿宋_GB2312" w:cs="仿宋_GB2312" w:eastAsia="仿宋_GB2312"/>
              </w:rPr>
              <w:t>1、甲供材料、设备：无。</w:t>
            </w:r>
          </w:p>
          <w:p>
            <w:pPr>
              <w:pStyle w:val="null3"/>
              <w:jc w:val="both"/>
            </w:pPr>
            <w:r>
              <w:rPr>
                <w:rFonts w:ascii="仿宋_GB2312" w:hAnsi="仿宋_GB2312" w:cs="仿宋_GB2312" w:eastAsia="仿宋_GB2312"/>
              </w:rPr>
              <w:t>2、专业工程暂估价：无。</w:t>
            </w:r>
          </w:p>
          <w:p>
            <w:pPr>
              <w:pStyle w:val="null3"/>
              <w:jc w:val="both"/>
            </w:pPr>
            <w:r>
              <w:rPr>
                <w:rFonts w:ascii="仿宋_GB2312" w:hAnsi="仿宋_GB2312" w:cs="仿宋_GB2312" w:eastAsia="仿宋_GB2312"/>
              </w:rPr>
              <w:t>3、计日工：不列项。</w:t>
            </w:r>
          </w:p>
          <w:p>
            <w:pPr>
              <w:pStyle w:val="null3"/>
              <w:jc w:val="both"/>
            </w:pPr>
            <w:r>
              <w:rPr>
                <w:rFonts w:ascii="仿宋_GB2312" w:hAnsi="仿宋_GB2312" w:cs="仿宋_GB2312" w:eastAsia="仿宋_GB2312"/>
              </w:rPr>
              <w:t>4、总承包服务费：不列项。</w:t>
            </w:r>
          </w:p>
          <w:p>
            <w:pPr>
              <w:pStyle w:val="null3"/>
              <w:jc w:val="both"/>
            </w:pPr>
            <w:r>
              <w:rPr>
                <w:rFonts w:ascii="仿宋_GB2312" w:hAnsi="仿宋_GB2312" w:cs="仿宋_GB2312" w:eastAsia="仿宋_GB2312"/>
              </w:rPr>
              <w:t>六、具体工程量详见工程量清单</w:t>
            </w:r>
          </w:p>
          <w:p>
            <w:pPr>
              <w:pStyle w:val="null3"/>
              <w:jc w:val="both"/>
            </w:pPr>
            <w:r>
              <w:rPr>
                <w:rFonts w:ascii="仿宋_GB2312" w:hAnsi="仿宋_GB2312" w:cs="仿宋_GB2312" w:eastAsia="仿宋_GB2312"/>
                <w:sz w:val="21"/>
              </w:rPr>
              <w:t>七</w:t>
            </w:r>
            <w:r>
              <w:rPr>
                <w:rFonts w:ascii="仿宋_GB2312" w:hAnsi="仿宋_GB2312" w:cs="仿宋_GB2312" w:eastAsia="仿宋_GB2312"/>
                <w:sz w:val="21"/>
              </w:rPr>
              <w:t>、</w:t>
            </w:r>
            <w:r>
              <w:rPr>
                <w:rFonts w:ascii="仿宋_GB2312" w:hAnsi="仿宋_GB2312" w:cs="仿宋_GB2312" w:eastAsia="仿宋_GB2312"/>
                <w:sz w:val="21"/>
              </w:rPr>
              <w:t>本项目施工工期：</w:t>
            </w:r>
            <w:r>
              <w:rPr>
                <w:rFonts w:ascii="仿宋_GB2312" w:hAnsi="仿宋_GB2312" w:cs="仿宋_GB2312" w:eastAsia="仿宋_GB2312"/>
                <w:sz w:val="21"/>
              </w:rPr>
              <w:t>40</w:t>
            </w:r>
            <w:r>
              <w:rPr>
                <w:rFonts w:ascii="仿宋_GB2312" w:hAnsi="仿宋_GB2312" w:cs="仿宋_GB2312" w:eastAsia="仿宋_GB2312"/>
                <w:sz w:val="21"/>
              </w:rPr>
              <w:t>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2、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3、供应商需要在线提交所有通过电子化交易平台实施的政府采购项目的响应文件，同时，线下提交纸质响应文件壹份，具体要求详见磋商公告。4、本项目专门面向中小企业采购（残疾人福利性单位、监狱企业视同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技术响应部分.docx 技术商务偏离表.docx 承诺书.docx 资格证明文件.docx 强制优先采购产品承诺函 身份证明文件.docx 响应文件封面 报价函 标的清单 磋商第一次报价表.docx 响应函 磋商函.docx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承诺书.docx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 身份证明文件.docx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供应商须具有建筑工程施工总承包三级及以上资质及有效的安全生产许可证，供应商需在项目电子化交易系统中按要求上传相应证明文件并进行电子签章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拟派项目经理证书</w:t>
            </w:r>
          </w:p>
        </w:tc>
        <w:tc>
          <w:tcPr>
            <w:tcW w:type="dxa" w:w="3322"/>
          </w:tcPr>
          <w:p>
            <w:pPr>
              <w:pStyle w:val="null3"/>
            </w:pPr>
            <w:r>
              <w:rPr>
                <w:rFonts w:ascii="仿宋_GB2312" w:hAnsi="仿宋_GB2312" w:cs="仿宋_GB2312" w:eastAsia="仿宋_GB2312"/>
              </w:rPr>
              <w:t>供应商拟派项目经理具有本企业注册的建筑工程专业二级及以上注册建造师证书及安全考核合格证,且无在建（无在建承诺格式及内容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已标价工程量清单 技术响应部分.docx 技术商务偏离表.docx 承诺书.docx 资格证明文件.docx 强制优先采购产品承诺函 身份证明文件.docx 响应文件封面 报价函 标的清单 磋商第一次报价表.docx 响应函 磋商函.docx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内容无重大缺漏项，报价唯一，且没有超过采购预算或限价</w:t>
            </w:r>
          </w:p>
        </w:tc>
        <w:tc>
          <w:tcPr>
            <w:tcW w:type="dxa" w:w="1661"/>
          </w:tcPr>
          <w:p>
            <w:pPr>
              <w:pStyle w:val="null3"/>
            </w:pPr>
            <w:r>
              <w:rPr>
                <w:rFonts w:ascii="仿宋_GB2312" w:hAnsi="仿宋_GB2312" w:cs="仿宋_GB2312" w:eastAsia="仿宋_GB2312"/>
              </w:rPr>
              <w:t>已标价工程量清单 报价函 标的清单 磋商第一次报价表.docx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报价函 响应函 磋商函.docx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磋商第一次报价表.docx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已标价工程量清单 技术响应部分.docx 技术商务偏离表.docx 承诺书.docx 资格证明文件.docx 强制优先采购产品承诺函 身份证明文件.docx 响应文件封面 报价函 标的清单 磋商第一次报价表.docx 响应函 磋商函.docx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已标价工程量清单 技术响应部分.docx 技术商务偏离表.docx 承诺书.docx 资格证明文件.docx 强制优先采购产品承诺函 身份证明文件.docx 响应文件封面 报价函 标的清单 磋商第一次报价表.docx 响应函 磋商函.docx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项目安全保证措施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方案专门针对本项目编制，符合项目实际情况及实施要求，内容详尽且涵盖角度全面，合理性和可行性强，能够保障项目顺利实施的，得5分; 方案能够针对本项目编制，符合项目实际情况及实施要求，内容详尽且涵盖角度基本全面，有一定的合理性和可行性的，得4分; 方案基本能够针对本项目编制，基本符合项目实际情况及实施要求，内容较宽泛，涵盖角度不够全面，内容基本合理可行的，得3分; 具有方案内容但内容未贴合本项目，内容涵盖角度不够全面且实施有难度的，得2分; 具有方案内容但内容未针对本项目，内容空洞宽泛，基本不具有可实施性，得1分;未提供方案内容不得分。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 投入计划基本针对本项目编制，符合项目实际情况及实施要求，内容详尽且涵盖角度基本全面，有一定的合理性和可行性的，得4分; 投入计划能够针对本项目编制，基本符合项目实际情况及实施要求，内容较详细，涵盖角度较全面但略有不完善，基本合理可行的，得3分;提供投入计划，但内容涵盖角度不够全面且实施具有一定难度，得2分; 投入计划内容简单笼统，实施难度大的，得1分;未提供投入计划内容不得分。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施工进度网络图或施工进度表</w:t>
            </w:r>
          </w:p>
        </w:tc>
        <w:tc>
          <w:tcPr>
            <w:tcW w:type="dxa" w:w="2492"/>
          </w:tcPr>
          <w:p>
            <w:pPr>
              <w:pStyle w:val="null3"/>
            </w:pPr>
            <w:r>
              <w:rPr>
                <w:rFonts w:ascii="仿宋_GB2312" w:hAnsi="仿宋_GB2312" w:cs="仿宋_GB2312" w:eastAsia="仿宋_GB2312"/>
              </w:rPr>
              <w:t>网络图或进度表内容详尽、安排合理且实施性强计5分； 网络图或进度表内容详尽、安排合理且实施性较强计4分； 提供网络图或进度表内容、安排基本合理实施性缺乏计3分； 提供网络图或进度表，内容不够全面，实施性不强计2分； 提供网络图或进度表，内容不合理，不具有实施性计1分。未提供网络图或进度表不得分。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安排计划科学全面、内容具体、针对性强计5分； 安排计划基本全面、具有一定针对性计4分； 提供安排计划、内容基本合理、实施性欠妥计3分；提供安排计划，内容不够全面，实施性不强计2分；提供安排计划，内容简单笼统，不具有实施性计1分。未提供安排计划不计分。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项目部组成</w:t>
            </w:r>
          </w:p>
        </w:tc>
        <w:tc>
          <w:tcPr>
            <w:tcW w:type="dxa" w:w="2492"/>
          </w:tcPr>
          <w:p>
            <w:pPr>
              <w:pStyle w:val="null3"/>
            </w:pPr>
            <w:r>
              <w:rPr>
                <w:rFonts w:ascii="仿宋_GB2312" w:hAnsi="仿宋_GB2312" w:cs="仿宋_GB2312" w:eastAsia="仿宋_GB2312"/>
              </w:rPr>
              <w:t>项目部组成科学合理、人员表配置充足，有详细的人员配置清单，针对性强，能够很好的满足项目需求，得5分；项目部组成基本合理、人员表配置基本齐全，具有人员配置清单，有一定的针对性，能够满足项目需求，得4分；提供项目部组成情况，配置基本合理但组成不全面得3分；项目部组成人员缺乏科学合理性，无人员配置清单，无法满足项目需求，得2分； 项目部组成内容简单笼统得1分。未提供项目部组成不得分。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后续服务措施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施工现场扬尘污染防治措施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应用的技术、产品、工艺、材料等先进科学、可行性高计5分； 应用的技术、产品、工艺、材料等先进科学、可行性较高计4分； 应用的技术、产品、工艺、材料等科学性、可行性缺乏计3分； 应用的技术、产品、工艺、材料等科学性描述脱离实际计2分； 其他情形计1分。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工程质量和质量保修承诺</w:t>
            </w:r>
          </w:p>
        </w:tc>
        <w:tc>
          <w:tcPr>
            <w:tcW w:type="dxa" w:w="2492"/>
          </w:tcPr>
          <w:p>
            <w:pPr>
              <w:pStyle w:val="null3"/>
            </w:pPr>
            <w:r>
              <w:rPr>
                <w:rFonts w:ascii="仿宋_GB2312" w:hAnsi="仿宋_GB2312" w:cs="仿宋_GB2312" w:eastAsia="仿宋_GB2312"/>
              </w:rPr>
              <w:t>承诺方案专门针对本项目编制，符合项目实际情况及实施要求，内容详尽且涵盖角度全面，合理性和可行性强，保障充分，得5分; 承诺方案能够针对本项目编制，符合项目实际情况及实施要求，内容详尽且涵盖角度基本全面，有一定的合理性和可行性的，得4分；承诺方案内容基本能够针对本项目编制，基本符合项目实际情况及实施要求，内容较详细，涵盖角度较全面，基本合理可行的，得3分; 具有承诺内容但内容未贴合本项目，承诺内容涵盖角度不全面且实施有难度的，得2分; 具有承诺内容但内容未针对本项目，内容空洞宽泛，可实施性不强，得1分;未提供承诺内容不得分。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2022年1月1日以来承接过类似项目的合同证明（以合同的签订日期为准）（每提供一个得1分，满分5分）（合同内容须清晰可辨认，无涂改，否则视为无效合同）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详见附件：磋商第一次报价表.docx</w:t>
      </w:r>
    </w:p>
    <w:p>
      <w:pPr>
        <w:pStyle w:val="null3"/>
        <w:ind w:firstLine="960"/>
      </w:pPr>
      <w:r>
        <w:rPr>
          <w:rFonts w:ascii="仿宋_GB2312" w:hAnsi="仿宋_GB2312" w:cs="仿宋_GB2312" w:eastAsia="仿宋_GB2312"/>
        </w:rPr>
        <w:t>详见附件：磋商函.docx</w:t>
      </w:r>
    </w:p>
    <w:p>
      <w:pPr>
        <w:pStyle w:val="null3"/>
        <w:ind w:firstLine="960"/>
      </w:pPr>
      <w:r>
        <w:rPr>
          <w:rFonts w:ascii="仿宋_GB2312" w:hAnsi="仿宋_GB2312" w:cs="仿宋_GB2312" w:eastAsia="仿宋_GB2312"/>
        </w:rPr>
        <w:t>详见附件：技术商务偏离表.docx</w:t>
      </w:r>
    </w:p>
    <w:p>
      <w:pPr>
        <w:pStyle w:val="null3"/>
        <w:ind w:firstLine="960"/>
      </w:pPr>
      <w:r>
        <w:rPr>
          <w:rFonts w:ascii="仿宋_GB2312" w:hAnsi="仿宋_GB2312" w:cs="仿宋_GB2312" w:eastAsia="仿宋_GB2312"/>
        </w:rPr>
        <w:t>详见附件：技术响应部分.docx</w:t>
      </w:r>
    </w:p>
    <w:p>
      <w:pPr>
        <w:pStyle w:val="null3"/>
        <w:ind w:firstLine="960"/>
      </w:pPr>
      <w:r>
        <w:rPr>
          <w:rFonts w:ascii="仿宋_GB2312" w:hAnsi="仿宋_GB2312" w:cs="仿宋_GB2312" w:eastAsia="仿宋_GB2312"/>
        </w:rPr>
        <w:t>详见附件：身份证明文件.docx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