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版本号：ZJXG202506420250702001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部室改造提升工程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ZJXG2025064</w:t>
      </w:r>
      <w:r>
        <w:br/>
      </w:r>
      <w:r>
        <w:br/>
      </w:r>
      <w:r>
        <w:br/>
      </w:r>
    </w:p>
    <w:p>
      <w:pPr>
        <w:pStyle w:val="null3"/>
        <w:jc w:val="center"/>
        <w:outlineLvl w:val="2"/>
      </w:pPr>
      <w:r>
        <w:rPr>
          <w:rFonts w:ascii="仿宋_GB2312" w:hAnsi="仿宋_GB2312" w:cs="仿宋_GB2312" w:eastAsia="仿宋_GB2312"/>
          <w:sz w:val="28"/>
          <w:b/>
        </w:rPr>
        <w:t>西安职业中等专业学校</w:t>
      </w:r>
    </w:p>
    <w:p>
      <w:pPr>
        <w:pStyle w:val="null3"/>
        <w:jc w:val="center"/>
        <w:outlineLvl w:val="2"/>
      </w:pPr>
      <w:r>
        <w:rPr>
          <w:rFonts w:ascii="仿宋_GB2312" w:hAnsi="仿宋_GB2312" w:cs="仿宋_GB2312" w:eastAsia="仿宋_GB2312"/>
          <w:sz w:val="28"/>
          <w:b/>
        </w:rPr>
        <w:t>陕西中鉴项目管理有限公司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陕西中鉴项目管理有限公司</w:t>
      </w:r>
      <w:r>
        <w:rPr>
          <w:rFonts w:ascii="仿宋_GB2312" w:hAnsi="仿宋_GB2312" w:cs="仿宋_GB2312" w:eastAsia="仿宋_GB2312"/>
        </w:rPr>
        <w:t>（以下简称“代理机构”）受</w:t>
      </w:r>
      <w:r>
        <w:rPr>
          <w:rFonts w:ascii="仿宋_GB2312" w:hAnsi="仿宋_GB2312" w:cs="仿宋_GB2312" w:eastAsia="仿宋_GB2312"/>
        </w:rPr>
        <w:t>西安职业中等专业学校</w:t>
      </w:r>
      <w:r>
        <w:rPr>
          <w:rFonts w:ascii="仿宋_GB2312" w:hAnsi="仿宋_GB2312" w:cs="仿宋_GB2312" w:eastAsia="仿宋_GB2312"/>
        </w:rPr>
        <w:t>委托，拟对</w:t>
      </w:r>
      <w:r>
        <w:rPr>
          <w:rFonts w:ascii="仿宋_GB2312" w:hAnsi="仿宋_GB2312" w:cs="仿宋_GB2312" w:eastAsia="仿宋_GB2312"/>
        </w:rPr>
        <w:t>部室改造提升工程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ZJXG2025064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部室改造提升工程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部室改造提升工程，具体内容详见工程量清单及竞争性磋商文件。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采购包1（部室改造提升工程）：属于专门面向中小企业采购。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1、有效的主体资格证明：具有独立承担民事责任能力的法人、其他组织或自然人，并出具合法有效的相关证明材料。供应商需在项目电子化交易系统中按要求上传相应证明文件并进行电子签章；</w:t>
      </w:r>
    </w:p>
    <w:p>
      <w:pPr>
        <w:pStyle w:val="null3"/>
      </w:pPr>
      <w:r>
        <w:rPr>
          <w:rFonts w:ascii="仿宋_GB2312" w:hAnsi="仿宋_GB2312" w:cs="仿宋_GB2312" w:eastAsia="仿宋_GB2312"/>
        </w:rPr>
        <w:t>2、财务状况报告：①可提供2023或2024年度经审计的财务报告（包含审计报告和审计报告中所涉及的财务报表和报表附注），②可提供2023或2024年度供应商完整的全套财务报表（应当包括资产负债表、利润表、现金流量表、所有者权益变动表、附注），③可提供截至竞争性磋商响应文件提交截止日一年内银行出具的资信证明，④供应商注册时间截至竞争性磋商响应文件提交截止日不足一年的，也可提供在工商管理部门备案的公司章程。供应商需在项目电子化交易系统中按要求上传相应证明文件并进行电子签章；</w:t>
      </w:r>
    </w:p>
    <w:p>
      <w:pPr>
        <w:pStyle w:val="null3"/>
      </w:pPr>
      <w:r>
        <w:rPr>
          <w:rFonts w:ascii="仿宋_GB2312" w:hAnsi="仿宋_GB2312" w:cs="仿宋_GB2312" w:eastAsia="仿宋_GB2312"/>
        </w:rPr>
        <w:t>3、税收缴纳证明：提供2024年1月至今已缴纳的1个月的纳税证明或完税证明，依法免税的单位应提供相关证明材料。供应商需在项目电子化交易系统中按要求上传相应证明文件并进行电子签章；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4、社会保障资金缴纳证明：提供2024年1月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5、履行合同所必需的设备和专业技术能力：提供具有履行合同所必需的设备和专业技术能力的承诺。供应商需在项目电子化交易系统中按要求上传相应证明文件并进行电子签章；</w:t>
      </w:r>
    </w:p>
    <w:p>
      <w:pPr>
        <w:pStyle w:val="null3"/>
      </w:pPr>
      <w:r>
        <w:rPr>
          <w:rFonts w:ascii="仿宋_GB2312" w:hAnsi="仿宋_GB2312" w:cs="仿宋_GB2312" w:eastAsia="仿宋_GB2312"/>
        </w:rPr>
        <w:t>6、前三年无重大违法记录声明：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p>
      <w:pPr>
        <w:pStyle w:val="null3"/>
      </w:pPr>
      <w:r>
        <w:rPr>
          <w:rFonts w:ascii="仿宋_GB2312" w:hAnsi="仿宋_GB2312" w:cs="仿宋_GB2312" w:eastAsia="仿宋_GB2312"/>
        </w:rPr>
        <w:t>7、授权书及被授权人身份证：法定代表人参加磋商的，须提供法定代表人身份证；法定代表人授权本单位他人参加磋商的，须提供法定代表人授权委托书及被授权代表开标截止前三个月内任意一个月在本单位的社会保险缴纳证明，非法人单位参照执行。供应商需在项目电子化交易系统中按要求上传相应证明文件并进行电子签章；</w:t>
      </w:r>
    </w:p>
    <w:p>
      <w:pPr>
        <w:pStyle w:val="null3"/>
      </w:pPr>
      <w:r>
        <w:rPr>
          <w:rFonts w:ascii="仿宋_GB2312" w:hAnsi="仿宋_GB2312" w:cs="仿宋_GB2312" w:eastAsia="仿宋_GB2312"/>
        </w:rPr>
        <w:t>8、企业资质：供应商具备建设行政主管部门颁发的建筑工程施工总承包三级及以上资质；同时具有合格有效的安全生产许可证。供应商需在项目电子化交易系统中按要求上传相应证明文件并进行电子签章。</w:t>
      </w:r>
    </w:p>
    <w:p>
      <w:pPr>
        <w:pStyle w:val="null3"/>
      </w:pPr>
      <w:r>
        <w:rPr>
          <w:rFonts w:ascii="仿宋_GB2312" w:hAnsi="仿宋_GB2312" w:cs="仿宋_GB2312" w:eastAsia="仿宋_GB2312"/>
        </w:rPr>
        <w:t>9、拟派项目负责人要求：证书等级：二级及以上注册建造师证书 专业：建筑工程 补充说明：同时具备有效期内的安全生产考核合格证书（安B证），且无在建项目（提供承诺书）。供应商需在项目电子化交易系统中按要求上传相应证明文件并进行电子签章；</w:t>
      </w:r>
    </w:p>
    <w:p>
      <w:pPr>
        <w:pStyle w:val="null3"/>
      </w:pPr>
      <w:r>
        <w:rPr>
          <w:rFonts w:ascii="仿宋_GB2312" w:hAnsi="仿宋_GB2312" w:cs="仿宋_GB2312" w:eastAsia="仿宋_GB2312"/>
        </w:rPr>
        <w:t>10、信用查询：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w:t>
      </w:r>
    </w:p>
    <w:p>
      <w:pPr>
        <w:pStyle w:val="null3"/>
      </w:pPr>
      <w:r>
        <w:rPr>
          <w:rFonts w:ascii="仿宋_GB2312" w:hAnsi="仿宋_GB2312" w:cs="仿宋_GB2312" w:eastAsia="仿宋_GB2312"/>
        </w:rPr>
        <w:t>11、中小企业：本合同包为专门面向中小企业采购（提供中小企业声明函或监狱企业的证明文件或残疾人福利性单位声明函）。供应商需在项目电子化交易系统中按要求上传相应证明文件并进行电子签章；</w:t>
      </w:r>
    </w:p>
    <w:p>
      <w:pPr>
        <w:pStyle w:val="null3"/>
      </w:pPr>
      <w:r>
        <w:rPr>
          <w:rFonts w:ascii="仿宋_GB2312" w:hAnsi="仿宋_GB2312" w:cs="仿宋_GB2312" w:eastAsia="仿宋_GB2312"/>
        </w:rPr>
        <w:t>12、是否接受联合体投标：本项目不接受联合体投标，供应商需在项目电子化交易系统中按要求上传相应证明文件并进行电子签章。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西安职业中等专业学校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西安市新城区东一路30号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西安职业中等专业学校经办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029-87449712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陕西中鉴项目管理有限公司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陕西省西安市未央区未央路109号万象未央1号楼506室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梁加豪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029-88229191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西安市新城区政府采购管理股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87438480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采购包1：512,200.00元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颁发的《招标代理服务收费管理暂行办法》（计价格〔2002〕1980号）和国家发展和改革委员会办公厅颁发的《关于招标代理服务收费有关问题的通知》（发改办价格〔2003〕857号）的文件收费标准计取。成交单位服务费交纳信息银行户名：陕西中鉴项目管理有限公司开户行：招商银行股份有限公司西安分行营业部账号：129911072510777联系电话：029-88229191</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西安职业中等专业学校</w:t>
      </w:r>
      <w:r>
        <w:rPr>
          <w:rFonts w:ascii="仿宋_GB2312" w:hAnsi="仿宋_GB2312" w:cs="仿宋_GB2312" w:eastAsia="仿宋_GB2312"/>
        </w:rPr>
        <w:t>和</w:t>
      </w:r>
      <w:r>
        <w:rPr>
          <w:rFonts w:ascii="仿宋_GB2312" w:hAnsi="仿宋_GB2312" w:cs="仿宋_GB2312" w:eastAsia="仿宋_GB2312"/>
        </w:rPr>
        <w:t>陕西中鉴项目管理有限公司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西安职业中等专业学校</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陕西中鉴项目管理有限公司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西安职业中等专业学校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陕西中鉴项目管理有限公司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按照竞争性磋商文件及成交供应商竞争性磋商响应文件进行履约验收。</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联系人：梁加豪</w:t>
      </w:r>
    </w:p>
    <w:p>
      <w:pPr>
        <w:pStyle w:val="null3"/>
      </w:pPr>
      <w:r>
        <w:rPr>
          <w:rFonts w:ascii="仿宋_GB2312" w:hAnsi="仿宋_GB2312" w:cs="仿宋_GB2312" w:eastAsia="仿宋_GB2312"/>
        </w:rPr>
        <w:t>联系电话：029-88229191</w:t>
      </w:r>
    </w:p>
    <w:p>
      <w:pPr>
        <w:pStyle w:val="null3"/>
      </w:pPr>
      <w:r>
        <w:rPr>
          <w:rFonts w:ascii="仿宋_GB2312" w:hAnsi="仿宋_GB2312" w:cs="仿宋_GB2312" w:eastAsia="仿宋_GB2312"/>
        </w:rPr>
        <w:t>地址：陕西省西安市未央区未央路109号万象未央1号楼506室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512,200.00</w:t>
      </w:r>
    </w:p>
    <w:p>
      <w:pPr>
        <w:pStyle w:val="null3"/>
      </w:pPr>
      <w:r>
        <w:rPr>
          <w:rFonts w:ascii="仿宋_GB2312" w:hAnsi="仿宋_GB2312" w:cs="仿宋_GB2312" w:eastAsia="仿宋_GB2312"/>
        </w:rPr>
        <w:t>采购包最高限价（元）: 486,808.64</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部室改造提升工程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512,200.00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标的名称：部室改造提升工程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一、项目概况</w:t>
            </w:r>
          </w:p>
          <w:p>
            <w:pPr>
              <w:pStyle w:val="null3"/>
              <w:jc w:val="both"/>
            </w:pPr>
            <w:r>
              <w:rPr>
                <w:rFonts w:ascii="仿宋_GB2312" w:hAnsi="仿宋_GB2312" w:cs="仿宋_GB2312" w:eastAsia="仿宋_GB2312"/>
                <w:sz w:val="21"/>
              </w:rPr>
              <w:t>部室改造提升工程，具体内容详见工程量清单及竞争性磋商文件。</w:t>
            </w:r>
          </w:p>
          <w:p>
            <w:pPr>
              <w:pStyle w:val="null3"/>
              <w:jc w:val="both"/>
            </w:pPr>
            <w:r>
              <w:rPr>
                <w:rFonts w:ascii="仿宋_GB2312" w:hAnsi="仿宋_GB2312" w:cs="仿宋_GB2312" w:eastAsia="仿宋_GB2312"/>
                <w:sz w:val="21"/>
              </w:rPr>
              <w:t>二、工程内容和施工地点、计划工期</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工程内容：对学校部分教室的墙顶地装饰进行改造，对楼梯面层进行改造及安装防护窗等工程，详见工程量清单。</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工程地点：项目位于西安市新城区</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工期：自合同签订之日起</w:t>
            </w:r>
            <w:r>
              <w:rPr>
                <w:rFonts w:ascii="仿宋_GB2312" w:hAnsi="仿宋_GB2312" w:cs="仿宋_GB2312" w:eastAsia="仿宋_GB2312"/>
                <w:sz w:val="21"/>
              </w:rPr>
              <w:t>30</w:t>
            </w:r>
            <w:r>
              <w:rPr>
                <w:rFonts w:ascii="仿宋_GB2312" w:hAnsi="仿宋_GB2312" w:cs="仿宋_GB2312" w:eastAsia="仿宋_GB2312"/>
                <w:sz w:val="21"/>
              </w:rPr>
              <w:t>日历天内。</w:t>
            </w:r>
          </w:p>
          <w:p>
            <w:pPr>
              <w:pStyle w:val="null3"/>
              <w:jc w:val="both"/>
            </w:pPr>
            <w:r>
              <w:rPr>
                <w:rFonts w:ascii="仿宋_GB2312" w:hAnsi="仿宋_GB2312" w:cs="仿宋_GB2312" w:eastAsia="仿宋_GB2312"/>
                <w:sz w:val="21"/>
              </w:rPr>
              <w:t>三、工程量清单编制说明</w:t>
            </w:r>
          </w:p>
          <w:p>
            <w:pPr>
              <w:pStyle w:val="null3"/>
              <w:jc w:val="both"/>
            </w:pPr>
            <w:r>
              <w:rPr>
                <w:rFonts w:ascii="仿宋_GB2312" w:hAnsi="仿宋_GB2312" w:cs="仿宋_GB2312" w:eastAsia="仿宋_GB2312"/>
                <w:sz w:val="21"/>
              </w:rPr>
              <w:t>（一）编制依据：</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《陕西省建设工程工程量清单计价规则》（</w:t>
            </w:r>
            <w:r>
              <w:rPr>
                <w:rFonts w:ascii="仿宋_GB2312" w:hAnsi="仿宋_GB2312" w:cs="仿宋_GB2312" w:eastAsia="仿宋_GB2312"/>
                <w:sz w:val="21"/>
              </w:rPr>
              <w:t>2009</w:t>
            </w:r>
            <w:r>
              <w:rPr>
                <w:rFonts w:ascii="仿宋_GB2312" w:hAnsi="仿宋_GB2312" w:cs="仿宋_GB2312" w:eastAsia="仿宋_GB2312"/>
                <w:sz w:val="21"/>
              </w:rPr>
              <w:t>）及其配套文件；</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陕西省住房和城乡建设厅《关于调整我省建设工程计价依据的通知》陕建发〔</w:t>
            </w:r>
            <w:r>
              <w:rPr>
                <w:rFonts w:ascii="仿宋_GB2312" w:hAnsi="仿宋_GB2312" w:cs="仿宋_GB2312" w:eastAsia="仿宋_GB2312"/>
                <w:sz w:val="21"/>
              </w:rPr>
              <w:t>2019</w:t>
            </w:r>
            <w:r>
              <w:rPr>
                <w:rFonts w:ascii="仿宋_GB2312" w:hAnsi="仿宋_GB2312" w:cs="仿宋_GB2312" w:eastAsia="仿宋_GB2312"/>
                <w:sz w:val="21"/>
              </w:rPr>
              <w:t>〕</w:t>
            </w:r>
            <w:r>
              <w:rPr>
                <w:rFonts w:ascii="仿宋_GB2312" w:hAnsi="仿宋_GB2312" w:cs="仿宋_GB2312" w:eastAsia="仿宋_GB2312"/>
                <w:sz w:val="21"/>
              </w:rPr>
              <w:t>45</w:t>
            </w:r>
            <w:r>
              <w:rPr>
                <w:rFonts w:ascii="仿宋_GB2312" w:hAnsi="仿宋_GB2312" w:cs="仿宋_GB2312" w:eastAsia="仿宋_GB2312"/>
                <w:sz w:val="21"/>
              </w:rPr>
              <w:t>号文件；</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正常施工组织设计、施工方法及标准图集；</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依据西安职业中专部室改造提升工程的施工图纸计算工程量；</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计价软件采用广联达云计价平台</w:t>
            </w:r>
            <w:r>
              <w:rPr>
                <w:rFonts w:ascii="仿宋_GB2312" w:hAnsi="仿宋_GB2312" w:cs="仿宋_GB2312" w:eastAsia="仿宋_GB2312"/>
                <w:sz w:val="21"/>
              </w:rPr>
              <w:t xml:space="preserve">GCCP 6.0 </w:t>
            </w:r>
            <w:r>
              <w:rPr>
                <w:rFonts w:ascii="仿宋_GB2312" w:hAnsi="仿宋_GB2312" w:cs="仿宋_GB2312" w:eastAsia="仿宋_GB2312"/>
                <w:sz w:val="21"/>
              </w:rPr>
              <w:t>版本：</w:t>
            </w:r>
            <w:r>
              <w:rPr>
                <w:rFonts w:ascii="仿宋_GB2312" w:hAnsi="仿宋_GB2312" w:cs="仿宋_GB2312" w:eastAsia="仿宋_GB2312"/>
                <w:sz w:val="21"/>
              </w:rPr>
              <w:t>6.4100.23.122</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（二）工程量清单：电子版另附。</w:t>
            </w:r>
          </w:p>
          <w:p>
            <w:pPr>
              <w:pStyle w:val="null3"/>
              <w:jc w:val="both"/>
            </w:pPr>
            <w:r>
              <w:rPr>
                <w:rFonts w:ascii="仿宋_GB2312" w:hAnsi="仿宋_GB2312" w:cs="仿宋_GB2312" w:eastAsia="仿宋_GB2312"/>
                <w:sz w:val="21"/>
              </w:rPr>
              <w:t>（三）图纸：电子版另附。</w:t>
            </w:r>
          </w:p>
          <w:p>
            <w:pPr>
              <w:pStyle w:val="null3"/>
              <w:jc w:val="both"/>
            </w:pPr>
            <w:r>
              <w:rPr>
                <w:rFonts w:ascii="仿宋_GB2312" w:hAnsi="仿宋_GB2312" w:cs="仿宋_GB2312" w:eastAsia="仿宋_GB2312"/>
                <w:sz w:val="21"/>
              </w:rPr>
              <w:t>四、施工要求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、成交供应商必须配备足够的人员和充足的机械设备进入实施，确保按时保质保量完成任务。</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、必须严密组织，文明施工，作好四周维护及安全环保措施，所需费用由成交供应商承担，施工过程必须严格遵守政府相关规定。</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、严格遵守西安市关于控制扬尘污染、治污减霾的相关规定，并承担一切安全事故或违规处罚所带来的经济及法律责任。</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在施工前，承包方应制定施工方案，提出具体的防尘抑尘降尘降噪等环保措施，配备足够的防尘抑尘降尘软硬件设施，明确具体的环保要求和环保责任人、制定湿法降尘专项实施方案，并按有关标准及专项实施方案实施湿法作业，有效降尘作业，造成扬尘污染的，必须服从相关监督或管理部门发出的责令整改并接受其按有关规定进行的处理。</w:t>
            </w:r>
          </w:p>
          <w:p>
            <w:pPr>
              <w:pStyle w:val="null3"/>
              <w:jc w:val="both"/>
            </w:pPr>
            <w:r>
              <w:rPr>
                <w:rFonts w:ascii="仿宋_GB2312" w:hAnsi="仿宋_GB2312" w:cs="仿宋_GB2312" w:eastAsia="仿宋_GB2312"/>
                <w:sz w:val="21"/>
              </w:rPr>
              <w:t>承包方在垃圾外运中应严格遵守港务区关于治污减霾相关规定，服从采购人相关部门管理，严格做好治污减霾工作。</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承包方必须严格按照治污减霾工作要求，完成施工出入口、洗车台、监控、环境监测设备等设施施工、安装，负责场内垃圾，裸露黄土覆盖、道路冲洗等工作，并承担相关费用，同时，需根据政府相关部门要求，完成拆除、渣土和垃圾外运相关手续办理后方可进场施工。施工过程中，应无条件响应各级管理部门，招标人各项管理规定，要求停工时必须立即停工，如因承包方私自作业，不按要求施工等情况由承包方承担全部责任，由此产生的全部费用由承包方承担。</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、承包方负责现场安全管理工作，并承担全部责任及由此产生的全部费用，现场人员由承包方按照相关规定办理相关保险事宜。</w:t>
            </w:r>
          </w:p>
          <w:p>
            <w:pPr>
              <w:pStyle w:val="null3"/>
              <w:jc w:val="both"/>
            </w:pPr>
            <w:r>
              <w:rPr>
                <w:rFonts w:ascii="仿宋_GB2312" w:hAnsi="仿宋_GB2312" w:cs="仿宋_GB2312" w:eastAsia="仿宋_GB2312"/>
                <w:sz w:val="21"/>
              </w:rPr>
              <w:t>五、商务要求</w:t>
            </w:r>
          </w:p>
          <w:p>
            <w:pPr>
              <w:pStyle w:val="null3"/>
              <w:jc w:val="both"/>
            </w:pPr>
            <w:r>
              <w:rPr>
                <w:rFonts w:ascii="仿宋_GB2312" w:hAnsi="仿宋_GB2312" w:cs="仿宋_GB2312" w:eastAsia="仿宋_GB2312"/>
                <w:sz w:val="21"/>
              </w:rPr>
              <w:t>付款方式：</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、付款条件说明：合同签订后，达到付款条件起</w:t>
            </w:r>
            <w:r>
              <w:rPr>
                <w:rFonts w:ascii="仿宋_GB2312" w:hAnsi="仿宋_GB2312" w:cs="仿宋_GB2312" w:eastAsia="仿宋_GB2312"/>
                <w:sz w:val="21"/>
              </w:rPr>
              <w:t>30</w:t>
            </w:r>
            <w:r>
              <w:rPr>
                <w:rFonts w:ascii="仿宋_GB2312" w:hAnsi="仿宋_GB2312" w:cs="仿宋_GB2312" w:eastAsia="仿宋_GB2312"/>
                <w:sz w:val="21"/>
              </w:rPr>
              <w:t>日内，支付合同总金额的</w:t>
            </w:r>
            <w:r>
              <w:rPr>
                <w:rFonts w:ascii="仿宋_GB2312" w:hAnsi="仿宋_GB2312" w:cs="仿宋_GB2312" w:eastAsia="仿宋_GB2312"/>
                <w:sz w:val="21"/>
              </w:rPr>
              <w:t>40.00%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、付款条件说明：工程全部竣工验收通过后，达到付款条件起</w:t>
            </w:r>
            <w:r>
              <w:rPr>
                <w:rFonts w:ascii="仿宋_GB2312" w:hAnsi="仿宋_GB2312" w:cs="仿宋_GB2312" w:eastAsia="仿宋_GB2312"/>
                <w:sz w:val="21"/>
              </w:rPr>
              <w:t>30</w:t>
            </w:r>
            <w:r>
              <w:rPr>
                <w:rFonts w:ascii="仿宋_GB2312" w:hAnsi="仿宋_GB2312" w:cs="仿宋_GB2312" w:eastAsia="仿宋_GB2312"/>
                <w:sz w:val="21"/>
              </w:rPr>
              <w:t>日内，支付合同总金额的</w:t>
            </w:r>
            <w:r>
              <w:rPr>
                <w:rFonts w:ascii="仿宋_GB2312" w:hAnsi="仿宋_GB2312" w:cs="仿宋_GB2312" w:eastAsia="仿宋_GB2312"/>
                <w:sz w:val="21"/>
              </w:rPr>
              <w:t>50.00%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、付款条件说明：工程审计结束后，达到付款条件起</w:t>
            </w:r>
            <w:r>
              <w:rPr>
                <w:rFonts w:ascii="仿宋_GB2312" w:hAnsi="仿宋_GB2312" w:cs="仿宋_GB2312" w:eastAsia="仿宋_GB2312"/>
                <w:sz w:val="21"/>
              </w:rPr>
              <w:t>30</w:t>
            </w:r>
            <w:r>
              <w:rPr>
                <w:rFonts w:ascii="仿宋_GB2312" w:hAnsi="仿宋_GB2312" w:cs="仿宋_GB2312" w:eastAsia="仿宋_GB2312"/>
                <w:sz w:val="21"/>
              </w:rPr>
              <w:t>日内，支付合同总金额的</w:t>
            </w:r>
            <w:r>
              <w:rPr>
                <w:rFonts w:ascii="仿宋_GB2312" w:hAnsi="仿宋_GB2312" w:cs="仿宋_GB2312" w:eastAsia="仿宋_GB2312"/>
                <w:sz w:val="21"/>
              </w:rPr>
              <w:t>10.00%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质量要求：</w:t>
            </w:r>
          </w:p>
          <w:p>
            <w:pPr>
              <w:pStyle w:val="null3"/>
              <w:jc w:val="both"/>
            </w:pPr>
            <w:r>
              <w:rPr>
                <w:rFonts w:ascii="仿宋_GB2312" w:hAnsi="仿宋_GB2312" w:cs="仿宋_GB2312" w:eastAsia="仿宋_GB2312"/>
                <w:sz w:val="21"/>
              </w:rPr>
              <w:t>达到国家及行业现行技术规范标准，符合国家及行业验收合格标准。</w:t>
            </w:r>
          </w:p>
          <w:p>
            <w:pPr>
              <w:pStyle w:val="null3"/>
              <w:jc w:val="both"/>
            </w:pPr>
            <w:r>
              <w:rPr>
                <w:rFonts w:ascii="仿宋_GB2312" w:hAnsi="仿宋_GB2312" w:cs="仿宋_GB2312" w:eastAsia="仿宋_GB2312"/>
                <w:sz w:val="21"/>
              </w:rPr>
              <w:t>质量保修期：</w:t>
            </w:r>
          </w:p>
          <w:p>
            <w:pPr>
              <w:pStyle w:val="null3"/>
              <w:jc w:val="both"/>
            </w:pPr>
            <w:r>
              <w:rPr>
                <w:rFonts w:ascii="仿宋_GB2312" w:hAnsi="仿宋_GB2312" w:cs="仿宋_GB2312" w:eastAsia="仿宋_GB2312"/>
                <w:sz w:val="21"/>
              </w:rPr>
              <w:t>质量保修期其他工程为二年，防水工程为五年。</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1、项目范围内全部采用湿法作业、现场无扬尘。2、按城市管理部门要求安装联网监控和空气检测装置等，确保设备正常使用。</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各供应商所有分项报价（与最后磋商报价比例一致）同比例下浮。</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①可提供2023或2024年度经审计的财务报告（包含审计报告和审计报告中所涉及的财务报表和报表附注），②可提供2023或2024年度供应商完整的全套财务报表（应当包括资产负债表、利润表、现金流量表、所有者权益变动表、附注），③可提供截至竞争性磋商响应文件提交截止日一年内银行出具的资信证明，④供应商注册时间截至竞争性磋商响应文件提交截止日不足一年的，也可提供在工商管理部门备案的公司章程。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①可提供2023或2024年度经审计的财务报告（包含审计报告和审计报告中所涉及的财务报表和报表附注），②可提供2023或2024年度供应商完整的全套财务报表（应当包括资产负债表、利润表、现金流量表、所有者权益变动表、附注），③可提供截至竞争性磋商响应文件提交截止日一年内银行出具的资信证明，④供应商注册时间截至竞争性磋商响应文件提交截止日不足一年的，也可提供在工商管理部门备案的公司章程。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提供2024年1月至今已缴纳的1个月的纳税证明或完税证明，依法免税的单位应提供相关证明材料。供应商需在项目电子化交易系统中按要求上传相应证明文件并进行电子签章；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前三年无重大违法记录声明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授权书及被授权人身份证</w:t>
            </w:r>
          </w:p>
        </w:tc>
        <w:tc>
          <w:tcPr>
            <w:tcW w:type="dxa" w:w="3322"/>
          </w:tcPr>
          <w:p>
            <w:pPr>
              <w:pStyle w:val="null3"/>
            </w:pPr>
            <w:r>
              <w:rPr>
                <w:rFonts w:ascii="仿宋_GB2312" w:hAnsi="仿宋_GB2312" w:cs="仿宋_GB2312" w:eastAsia="仿宋_GB2312"/>
              </w:rPr>
              <w:t>法定代表人参加磋商的，须提供法定代表人身份证；法定代表人授权本单位他人参加磋商的，须提供法定代表人授权委托书及被授权代表开标截止前三个月内任意一个月在本单位的社会保险缴纳证明，非法人单位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供应商具备建设行政主管部门颁发的建筑工程施工总承包三级及以上资质；同时具有合格有效的安全生产许可证。供应商需在项目电子化交易系统中按要求上传相应证明文件并进行电子签章。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拟派项目负责人要求</w:t>
            </w:r>
          </w:p>
        </w:tc>
        <w:tc>
          <w:tcPr>
            <w:tcW w:type="dxa" w:w="3322"/>
          </w:tcPr>
          <w:p>
            <w:pPr>
              <w:pStyle w:val="null3"/>
            </w:pPr>
            <w:r>
              <w:rPr>
                <w:rFonts w:ascii="仿宋_GB2312" w:hAnsi="仿宋_GB2312" w:cs="仿宋_GB2312" w:eastAsia="仿宋_GB2312"/>
              </w:rPr>
              <w:t>证书等级：二级及以上注册建造师证书 专业：建筑工程 补充说明：同时具备有效期内的安全生产考核合格证书（安B证），且无在建项目（提供承诺书）。供应商需在项目电子化交易系统中按要求上传相应证明文件并进行电子签章；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本合同包为专门面向中小企业采购（提供中小企业声明函或监狱企业的证明文件或残疾人福利性单位声明函）。供应商需在项目电子化交易系统中按要求上传相应证明文件并进行电子签章；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磋商响应方案说明.docx 响应文件封面 项目管理机构组成表 供应商认为有必要补充说明的事项.docx 残疾人福利性单位声明函 报价函 标的清单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至少以下三处的项目名称、项目编号、标段与本项目完全一致： （1）竞争性磋商响应文件封面 （2）响应函 （3）法定代表人（主要负责人）委托授权书\身份证明</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磋商响应方案说明.docx 响应文件封面 项目管理机构组成表 供应商认为有必要补充说明的事项.docx 残疾人福利性单位声明函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竞争性磋商响应文件组成</w:t>
            </w:r>
          </w:p>
        </w:tc>
        <w:tc>
          <w:tcPr>
            <w:tcW w:type="dxa" w:w="3322"/>
          </w:tcPr>
          <w:p>
            <w:pPr>
              <w:pStyle w:val="null3"/>
            </w:pPr>
            <w:r>
              <w:rPr>
                <w:rFonts w:ascii="仿宋_GB2312" w:hAnsi="仿宋_GB2312" w:cs="仿宋_GB2312" w:eastAsia="仿宋_GB2312"/>
              </w:rPr>
              <w:t>竞争性磋商响应文件应包含竞争性磋商文件要求的所有内容</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磋商响应方案说明.docx 响应文件封面 项目管理机构组成表 供应商认为有必要补充说明的事项.docx 残疾人福利性单位声明函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签章或盖章</w:t>
            </w:r>
          </w:p>
        </w:tc>
        <w:tc>
          <w:tcPr>
            <w:tcW w:type="dxa" w:w="3322"/>
          </w:tcPr>
          <w:p>
            <w:pPr>
              <w:pStyle w:val="null3"/>
            </w:pPr>
            <w:r>
              <w:rPr>
                <w:rFonts w:ascii="仿宋_GB2312" w:hAnsi="仿宋_GB2312" w:cs="仿宋_GB2312" w:eastAsia="仿宋_GB2312"/>
              </w:rPr>
              <w:t>签章或盖章符合竞争性磋商文件要求，且无遗漏</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磋商响应方案说明.docx 响应文件封面 项目管理机构组成表 供应商认为有必要补充说明的事项.docx 残疾人福利性单位声明函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语言和计量单位</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磋商响应方案说明.docx 响应文件封面 项目管理机构组成表 供应商认为有必要补充说明的事项.docx 残疾人福利性单位声明函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磋商响应方案说明.docx 响应文件封面 项目管理机构组成表 供应商认为有必要补充说明的事项.docx 残疾人福利性单位声明函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 xml:space="preserve"> 投标报价</w:t>
            </w:r>
          </w:p>
        </w:tc>
        <w:tc>
          <w:tcPr>
            <w:tcW w:type="dxa" w:w="3322"/>
          </w:tcPr>
          <w:p>
            <w:pPr>
              <w:pStyle w:val="null3"/>
            </w:pPr>
            <w:r>
              <w:rPr>
                <w:rFonts w:ascii="仿宋_GB2312" w:hAnsi="仿宋_GB2312" w:cs="仿宋_GB2312" w:eastAsia="仿宋_GB2312"/>
              </w:rPr>
              <w:t>同时满足以下条款： （1）货币单位符合竞争性磋商文件要求 （2）报价符合唯一性要求 （3）未超出采购预算或最高限价</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磋商响应方案说明.docx 响应文件封面 项目管理机构组成表 供应商认为有必要补充说明的事项.docx 残疾人福利性单位声明函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 xml:space="preserve"> 完全响应竞争性磋商文件要求的各项技术（服务）、商务实质性条款</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磋商响应方案说明.docx 响应文件封面 项目管理机构组成表 供应商认为有必要补充说明的事项.docx 残疾人福利性单位声明函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 xml:space="preserve"> 合同条款响应</w:t>
            </w:r>
          </w:p>
        </w:tc>
        <w:tc>
          <w:tcPr>
            <w:tcW w:type="dxa" w:w="3322"/>
          </w:tcPr>
          <w:p>
            <w:pPr>
              <w:pStyle w:val="null3"/>
            </w:pPr>
            <w:r>
              <w:rPr>
                <w:rFonts w:ascii="仿宋_GB2312" w:hAnsi="仿宋_GB2312" w:cs="仿宋_GB2312" w:eastAsia="仿宋_GB2312"/>
              </w:rPr>
              <w:t>完全理解并响应竞争性磋商文件合同条款的要求，且未含有采购人不能接受的附加条件</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磋商响应方案说明.docx 响应文件封面 项目管理机构组成表 供应商认为有必要补充说明的事项.docx 残疾人福利性单位声明函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完全理解并接受法律法规和竞争性磋商文件对供应商合法经营的各类规约和责任义务要求，没有出现法律法规或竞争性磋商文件规定的其他无效情形</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磋商响应方案说明.docx 响应文件封面 项目管理机构组成表 供应商认为有必要补充说明的事项.docx 残疾人福利性单位声明函 供应商类似项目业绩一览表 供应商资格证明文件.docx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供应商提供的投标产品中每有一项为节能产品（非强制类）经国家认证的得0.5分，每有一项为环境标志产品经国家认证的得0.5分，供应商投标产品中每有一项产品同时为节能产品和环境标志产品得1分，最多得2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对该项目实施的重点、难点进行分析，对易发生质量通病、易出现安全问题、施工难度大、技术含量高的部分进行说明并给出施工保障措施和专项技术方案（含主要施工方法、组织措施、检验手段等）。 内容合理、方案具体可行、完全符合要求得7.1-10.0分； 内容较合理、方案可行性一般，基本符合要求得4.1-7.0分； 内容不完备、方案可行性差、不能全面符合要求得1.0-4.0分； 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施工进度计划安排</w:t>
            </w:r>
          </w:p>
        </w:tc>
        <w:tc>
          <w:tcPr>
            <w:tcW w:type="dxa" w:w="2492"/>
          </w:tcPr>
          <w:p>
            <w:pPr>
              <w:pStyle w:val="null3"/>
            </w:pPr>
            <w:r>
              <w:rPr>
                <w:rFonts w:ascii="仿宋_GB2312" w:hAnsi="仿宋_GB2312" w:cs="仿宋_GB2312" w:eastAsia="仿宋_GB2312"/>
              </w:rPr>
              <w:t>分析本项目进度目标及关键节点，同时针对关键节点、具体环节提出相应进度保障措施，并根据本项目的工期要求，提供全面的确保工程按期按质完成的进度计划安排。 整体进度安排（施工进度表或施工网络图）及各阶段进度保证措施内容合理、方案具体可行、完全符合要求得5.1-7.0分； 内容较合理、方案可行性一般，基本符合要求得3.1-5.0分； 内容不完备、方案可行性差、不能全面符合要求得1.0-3.0分； 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工程质量保证措施</w:t>
            </w:r>
          </w:p>
        </w:tc>
        <w:tc>
          <w:tcPr>
            <w:tcW w:type="dxa" w:w="2492"/>
          </w:tcPr>
          <w:p>
            <w:pPr>
              <w:pStyle w:val="null3"/>
            </w:pPr>
            <w:r>
              <w:rPr>
                <w:rFonts w:ascii="仿宋_GB2312" w:hAnsi="仿宋_GB2312" w:cs="仿宋_GB2312" w:eastAsia="仿宋_GB2312"/>
              </w:rPr>
              <w:t>针对本项目制定切实可行的总体质量控制目标，且对质量控制目标进行合理分解、规划，确保本项目质量标准符合相关标准。 内容合理、方案具体可行、完全符合要求得5.1-7.0分； 内容较合理、方案可行性一般，基本符合要求得3.1-5.0分； 内容不完备、方案可行性差、不能全面符合要求得1.0-3.0分；未提供不计分。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施工应急预案</w:t>
            </w:r>
          </w:p>
        </w:tc>
        <w:tc>
          <w:tcPr>
            <w:tcW w:type="dxa" w:w="2492"/>
          </w:tcPr>
          <w:p>
            <w:pPr>
              <w:pStyle w:val="null3"/>
            </w:pPr>
            <w:r>
              <w:rPr>
                <w:rFonts w:ascii="仿宋_GB2312" w:hAnsi="仿宋_GB2312" w:cs="仿宋_GB2312" w:eastAsia="仿宋_GB2312"/>
              </w:rPr>
              <w:t>针对本项目制定切实可行的人工、材料、设备的组织方案、给出有针对性的施工应急预案。 内容合理、方案具体可行、完全符合要求得3.1-5.0分； 内容较合理、方案可行性一般，基本符合要求得2.1-3.0分； 内容不完备、方案可行性差、不能全面符合要求得1.0-2.0分；未提供不计分。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安全文明施工措施</w:t>
            </w:r>
          </w:p>
        </w:tc>
        <w:tc>
          <w:tcPr>
            <w:tcW w:type="dxa" w:w="2492"/>
          </w:tcPr>
          <w:p>
            <w:pPr>
              <w:pStyle w:val="null3"/>
            </w:pPr>
            <w:r>
              <w:rPr>
                <w:rFonts w:ascii="仿宋_GB2312" w:hAnsi="仿宋_GB2312" w:cs="仿宋_GB2312" w:eastAsia="仿宋_GB2312"/>
              </w:rPr>
              <w:t>结合工程环境、特点分析安全隐患，给出有针对性的安全生产、文明施工、环保施工、防尘降噪等保证措施。 安全文明、环保保证体系组织措施和控制点设置合理，内容合理、方案具体可行、完全符合要求得3.1-5.0分； 内容较合理、方案可行性一般，基本符合要求得2.1-3.0分； 内容不完备、方案可行性差、不能全面符合要求得1.0-2.0分； 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项目管理机构人员岗位完整，专业种类齐全，搭配合理，职位分明、有相应的技术能力。 人员配备合理、科学可行、完全符合要求得3.1-5.0分； 人员配备较合理、可行性一般，基本符合要求得2.1-3.0分； 人员配备不完备、可行性差、不能全面符合要求得1.0-2.0分；未提供不计分。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劳动力和材料投入计划</w:t>
            </w:r>
          </w:p>
        </w:tc>
        <w:tc>
          <w:tcPr>
            <w:tcW w:type="dxa" w:w="2492"/>
          </w:tcPr>
          <w:p>
            <w:pPr>
              <w:pStyle w:val="null3"/>
            </w:pPr>
            <w:r>
              <w:rPr>
                <w:rFonts w:ascii="仿宋_GB2312" w:hAnsi="仿宋_GB2312" w:cs="仿宋_GB2312" w:eastAsia="仿宋_GB2312"/>
              </w:rPr>
              <w:t>供应商针对本项目提供详细的劳动力和材料投入计划及其保证措施。措施完备，详细、可操作性强计3.1-5.0分； 措施基本合理、较详细、可操作性一般得2.1-3.0分； 措施欠缺或内容不完备得1.0-2.0分； 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机械设备投入计划</w:t>
            </w:r>
          </w:p>
        </w:tc>
        <w:tc>
          <w:tcPr>
            <w:tcW w:type="dxa" w:w="2492"/>
          </w:tcPr>
          <w:p>
            <w:pPr>
              <w:pStyle w:val="null3"/>
            </w:pPr>
            <w:r>
              <w:rPr>
                <w:rFonts w:ascii="仿宋_GB2312" w:hAnsi="仿宋_GB2312" w:cs="仿宋_GB2312" w:eastAsia="仿宋_GB2312"/>
              </w:rPr>
              <w:t>供应商针对本项目提供满足项目施工需要，与项目施工进度相适应的机械设备投入计划。 计划完备，详细、可行性强计3.1-5.0分； 计划较合理、较详细、基本可行得2.1-3.0分； 计划欠缺或内容不完备得1.0-2.0分； 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现场施工扬尘环境治理管理措施</w:t>
            </w:r>
          </w:p>
        </w:tc>
        <w:tc>
          <w:tcPr>
            <w:tcW w:type="dxa" w:w="2492"/>
          </w:tcPr>
          <w:p>
            <w:pPr>
              <w:pStyle w:val="null3"/>
            </w:pPr>
            <w:r>
              <w:rPr>
                <w:rFonts w:ascii="仿宋_GB2312" w:hAnsi="仿宋_GB2312" w:cs="仿宋_GB2312" w:eastAsia="仿宋_GB2312"/>
              </w:rPr>
              <w:t>供应商针对本项目提供符合本项目实际要求的现场施工扬尘环境治理管理措施。 现场扬尘管理措施合理、有详尽的扬尘控制措施并可达到国家控制的标准得3.1-5.0分； 现场扬尘管理措施较为合理得2.1-3.0分； 现场扬尘管理措施一般得1.0-2.0分；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新技术、新产品、新工艺、新材料应用</w:t>
            </w:r>
          </w:p>
        </w:tc>
        <w:tc>
          <w:tcPr>
            <w:tcW w:type="dxa" w:w="2492"/>
          </w:tcPr>
          <w:p>
            <w:pPr>
              <w:pStyle w:val="null3"/>
            </w:pPr>
            <w:r>
              <w:rPr>
                <w:rFonts w:ascii="仿宋_GB2312" w:hAnsi="仿宋_GB2312" w:cs="仿宋_GB2312" w:eastAsia="仿宋_GB2312"/>
              </w:rPr>
              <w:t>供应商针对本项目提出新技术、新产品、新工艺、新材料应用，并提供采用新技术、新产品、新工艺、新材料对工程质量安全、缩短工期、降低成本的措施。 方案合理、详尽、满足项目需要得3.1-5.0分；方案较为合理得2.1-3.0分， 方案一般得1.0-2.0分，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供应商自2022年7月1日以来承担过类似项目业绩。（以合同签订日期或中标通知书签署日期为准)；每提供一项业绩得2分，最高得4分。须提供合同或中标通知书复印件并加盖公章，不提供不得分。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保修承诺</w:t>
            </w:r>
          </w:p>
        </w:tc>
        <w:tc>
          <w:tcPr>
            <w:tcW w:type="dxa" w:w="2492"/>
          </w:tcPr>
          <w:p>
            <w:pPr>
              <w:pStyle w:val="null3"/>
            </w:pPr>
            <w:r>
              <w:rPr>
                <w:rFonts w:ascii="仿宋_GB2312" w:hAnsi="仿宋_GB2312" w:cs="仿宋_GB2312" w:eastAsia="仿宋_GB2312"/>
              </w:rPr>
              <w:t>根据供应商提供的保修服务承诺及优化建议等方面的承诺措施其中包括工程保修期内的定期回访方案及维修方案， 方案完善、科学合理，针对性强、服务承诺明确，计3.1-5.0分； 方案较完善、合理可行、特点和承诺一般，计2.1-3.0分；方案不完备或不完全符合项目要求计1.0-2.0分； 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1.经资格审查、符合性审查合格的竞争性磋商响应文件，其磋商报价为有效磋商报价。 2.满足竞争性磋商文件实质性要求且最后报价最低的供应商的价格为磋商基准价，其价格分为满分30分。 3.磋商报价得分=（磋商基准价/磋商评审价）×30%*100的公式计算得分。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详见附件：磋商响应方案说明.docx</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