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版本号：SXZAHD-CS-2025070420250711001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西七路恢复路面</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SXZAHD-CS-20250704</w:t>
      </w:r>
      <w:r>
        <w:br/>
      </w:r>
      <w:r>
        <w:br/>
      </w:r>
      <w:r>
        <w:br/>
      </w:r>
    </w:p>
    <w:p>
      <w:pPr>
        <w:pStyle w:val="null3"/>
        <w:jc w:val="center"/>
        <w:outlineLvl w:val="2"/>
      </w:pPr>
      <w:r>
        <w:rPr>
          <w:rFonts w:ascii="仿宋_GB2312" w:hAnsi="仿宋_GB2312" w:cs="仿宋_GB2312" w:eastAsia="仿宋_GB2312"/>
          <w:sz w:val="28"/>
          <w:b/>
        </w:rPr>
        <w:t>西安市新城区城市管理和综合执法局</w:t>
      </w:r>
    </w:p>
    <w:p>
      <w:pPr>
        <w:pStyle w:val="null3"/>
        <w:jc w:val="center"/>
        <w:outlineLvl w:val="2"/>
      </w:pPr>
      <w:r>
        <w:rPr>
          <w:rFonts w:ascii="仿宋_GB2312" w:hAnsi="仿宋_GB2312" w:cs="仿宋_GB2312" w:eastAsia="仿宋_GB2312"/>
          <w:sz w:val="28"/>
          <w:b/>
        </w:rPr>
        <w:t>陕西中安汇达项目管理有限公司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陕西中安汇达项目管理有限公司</w:t>
      </w:r>
      <w:r>
        <w:rPr>
          <w:rFonts w:ascii="仿宋_GB2312" w:hAnsi="仿宋_GB2312" w:cs="仿宋_GB2312" w:eastAsia="仿宋_GB2312"/>
        </w:rPr>
        <w:t>（以下简称“代理机构”）受</w:t>
      </w:r>
      <w:r>
        <w:rPr>
          <w:rFonts w:ascii="仿宋_GB2312" w:hAnsi="仿宋_GB2312" w:cs="仿宋_GB2312" w:eastAsia="仿宋_GB2312"/>
        </w:rPr>
        <w:t>西安市新城区城市管理和综合执法局</w:t>
      </w:r>
      <w:r>
        <w:rPr>
          <w:rFonts w:ascii="仿宋_GB2312" w:hAnsi="仿宋_GB2312" w:cs="仿宋_GB2312" w:eastAsia="仿宋_GB2312"/>
        </w:rPr>
        <w:t>委托，拟对</w:t>
      </w:r>
      <w:r>
        <w:rPr>
          <w:rFonts w:ascii="仿宋_GB2312" w:hAnsi="仿宋_GB2312" w:cs="仿宋_GB2312" w:eastAsia="仿宋_GB2312"/>
        </w:rPr>
        <w:t>西七路恢复路面</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SXZAHD-CS-20250704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西七路恢复路面</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该工程为西七路恢复路面项目,具体内容详见招标文件及工程量清单。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采购包1（西七路恢复路面）：属于专门面向中小企业采购。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财务状况报告：提供经审计的2024年度完整的财务报告，（成立时间至提交响应文件截止时间不足一年的可提供成立后任意时段的资产负债表）或在开标日期前六个月内其开户银行出具的资信证明，以上两种形式的资料提供任何一种即可（分支机构如无法提供财务审计报告，须出具包含分支机构的财务数据的总公司财务审计报告）；事业单位零余额账户提供相应证明；</w:t>
      </w:r>
    </w:p>
    <w:p>
      <w:pPr>
        <w:pStyle w:val="null3"/>
      </w:pPr>
      <w:r>
        <w:rPr>
          <w:rFonts w:ascii="仿宋_GB2312" w:hAnsi="仿宋_GB2312" w:cs="仿宋_GB2312" w:eastAsia="仿宋_GB2312"/>
        </w:rPr>
        <w:t>2、主体资格证明文件：具有独立承担民事责任能力的法人或其他组织，提供有效存续的营业执照或事业单位法人证书或非企业专业服务机构执业许可证或民办非企业单位登记证书或自然人的身份证明;</w:t>
      </w:r>
    </w:p>
    <w:p>
      <w:pPr>
        <w:pStyle w:val="null3"/>
      </w:pPr>
      <w:r>
        <w:rPr>
          <w:rFonts w:ascii="仿宋_GB2312" w:hAnsi="仿宋_GB2312" w:cs="仿宋_GB2312" w:eastAsia="仿宋_GB2312"/>
        </w:rPr>
        <w:t>3、税收缴纳证明：提供已缴纳的2024年7月起至少三个月的纳税证明或完税证明，纳税证明或完税证明上应有代收机构或税务机关的公章或业务专用章。依法免税的供应商应提供相关文件证明；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4、履约能力承诺：供应商须提供具有履行合同所必需的设备和专业技术能力的承诺；</w:t>
      </w:r>
    </w:p>
    <w:p>
      <w:pPr>
        <w:pStyle w:val="null3"/>
      </w:pPr>
      <w:r>
        <w:rPr>
          <w:rFonts w:ascii="仿宋_GB2312" w:hAnsi="仿宋_GB2312" w:cs="仿宋_GB2312" w:eastAsia="仿宋_GB2312"/>
        </w:rPr>
        <w:t>5、社会保障资金缴纳证明：提供已缴存的2024年7月起至少三个月的社会保障资金缴存单据或社保机构开具的社会保险参保缴费情况证明，单据或证明上应有社保机构或代收机构的公章或业务专用章。依法不需要缴纳社会保障资金的供应商应提供相关文件证明；</w:t>
      </w:r>
    </w:p>
    <w:p>
      <w:pPr>
        <w:pStyle w:val="null3"/>
      </w:pPr>
      <w:r>
        <w:rPr>
          <w:rFonts w:ascii="仿宋_GB2312" w:hAnsi="仿宋_GB2312" w:cs="仿宋_GB2312" w:eastAsia="仿宋_GB2312"/>
        </w:rPr>
        <w:t>6、无重大违法记录声明：出具参加本次政府采购活动前三年内在经营活动中没有重大违法记录的书面声明；</w:t>
      </w:r>
    </w:p>
    <w:p>
      <w:pPr>
        <w:pStyle w:val="null3"/>
      </w:pPr>
      <w:r>
        <w:rPr>
          <w:rFonts w:ascii="仿宋_GB2312" w:hAnsi="仿宋_GB2312" w:cs="仿宋_GB2312" w:eastAsia="仿宋_GB2312"/>
        </w:rPr>
        <w:t>7、法定代表人授权书：法定代表人参加磋商的提供法定代表人身份证明及身份证，委托代理人参加磋商的提供授权委托书及委托代理人身份证；自然人只需提供身份证；备注：分支机构由分支机构负责人授权即可；</w:t>
      </w:r>
    </w:p>
    <w:p>
      <w:pPr>
        <w:pStyle w:val="null3"/>
      </w:pPr>
      <w:r>
        <w:rPr>
          <w:rFonts w:ascii="仿宋_GB2312" w:hAnsi="仿宋_GB2312" w:cs="仿宋_GB2312" w:eastAsia="仿宋_GB2312"/>
        </w:rPr>
        <w:t>8、企业资质：供应商须具备建设行政主管部门颁发的市政公用工程施工总承包三级及以上资质；且具备合格有效的安全生产许可证；</w:t>
      </w:r>
    </w:p>
    <w:p>
      <w:pPr>
        <w:pStyle w:val="null3"/>
      </w:pPr>
      <w:r>
        <w:rPr>
          <w:rFonts w:ascii="仿宋_GB2312" w:hAnsi="仿宋_GB2312" w:cs="仿宋_GB2312" w:eastAsia="仿宋_GB2312"/>
        </w:rPr>
        <w:t>9、项目经理要求：拟派项目经理具备市政公用工程专业注册建造师二级及以上执业资格及其本人具有有效的安全生产考核合格证（建安B证），在本单位注册且无在建工程；</w:t>
      </w:r>
    </w:p>
    <w:p>
      <w:pPr>
        <w:pStyle w:val="null3"/>
      </w:pPr>
      <w:r>
        <w:rPr>
          <w:rFonts w:ascii="仿宋_GB2312" w:hAnsi="仿宋_GB2312" w:cs="仿宋_GB2312" w:eastAsia="仿宋_GB2312"/>
        </w:rPr>
        <w:t>10、不接受联合体磋商：本项目不接受联合体磋商（提供书面声明材料）。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西安市新城区城市管理和综合执法局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西安市新城区东五路83号民安大厦B座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刘绍东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87312632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陕西中安汇达项目管理有限公司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陕西省西安市经济技术开发区凤城六路以北未央路以东旺景国际大厦10613室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姬鹏举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15399456357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西安市新城区政府采购管理股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87438480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采购包1：1,396,235.48元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的《招标代理服务收费管理暂行办法》（计价格[2002]1980号）和国家发展和改革委员会办公厅印发的《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西安市新城区城市管理和综合执法局</w:t>
      </w:r>
      <w:r>
        <w:rPr>
          <w:rFonts w:ascii="仿宋_GB2312" w:hAnsi="仿宋_GB2312" w:cs="仿宋_GB2312" w:eastAsia="仿宋_GB2312"/>
        </w:rPr>
        <w:t>和</w:t>
      </w:r>
      <w:r>
        <w:rPr>
          <w:rFonts w:ascii="仿宋_GB2312" w:hAnsi="仿宋_GB2312" w:cs="仿宋_GB2312" w:eastAsia="仿宋_GB2312"/>
        </w:rPr>
        <w:t>陕西中安汇达项目管理有限公司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西安市新城区城市管理和综合执法局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陕西中安汇达项目管理有限公司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西安市新城区城市管理和综合执法局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陕西中安汇达项目管理有限公司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在本单位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一、成交供应商符合国家现行有关规范“合格”要求。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 三、验收结果合格的，采购人应向成交供应商出具履约验收报告，成交供应商凭验收报告办理相关手续。 四、验收结果不合格的，履约保证金将不予退还，给采购人造成的损失超过履约保证金数额的，还应当对超过部分予以赔偿；没有提交履约保证金的，应当对采购人的损失承担赔偿责任。</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陕西中安汇达项目管理有限公司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陕西中安汇达项目管理有限公司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陕西中安汇达项目管理有限公司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联系人：姬鹏举</w:t>
      </w:r>
    </w:p>
    <w:p>
      <w:pPr>
        <w:pStyle w:val="null3"/>
      </w:pPr>
      <w:r>
        <w:rPr>
          <w:rFonts w:ascii="仿宋_GB2312" w:hAnsi="仿宋_GB2312" w:cs="仿宋_GB2312" w:eastAsia="仿宋_GB2312"/>
        </w:rPr>
        <w:t>联系电话：15399456357</w:t>
      </w:r>
    </w:p>
    <w:p>
      <w:pPr>
        <w:pStyle w:val="null3"/>
      </w:pPr>
      <w:r>
        <w:rPr>
          <w:rFonts w:ascii="仿宋_GB2312" w:hAnsi="仿宋_GB2312" w:cs="仿宋_GB2312" w:eastAsia="仿宋_GB2312"/>
        </w:rPr>
        <w:t>地址：陕西省西安市经济技术开发区凤城六路以北未央路以东旺景国际大厦10613室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1,396,235.48</w:t>
      </w:r>
    </w:p>
    <w:p>
      <w:pPr>
        <w:pStyle w:val="null3"/>
      </w:pPr>
      <w:r>
        <w:rPr>
          <w:rFonts w:ascii="仿宋_GB2312" w:hAnsi="仿宋_GB2312" w:cs="仿宋_GB2312" w:eastAsia="仿宋_GB2312"/>
        </w:rPr>
        <w:t>采购包最高限价（元）: 1,396,235.48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 xml:space="preserve"> 其他专业施工</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1,396,235.48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 其他专业施工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 （一）工程内容：该工程为西七路恢复路面项目，具体内容详见招标文件及工程量清单。</w:t>
            </w:r>
            <w:r>
              <w:br/>
            </w:r>
            <w:r>
              <w:rPr>
                <w:rFonts w:ascii="仿宋_GB2312" w:hAnsi="仿宋_GB2312" w:cs="仿宋_GB2312" w:eastAsia="仿宋_GB2312"/>
              </w:rPr>
              <w:t xml:space="preserve">  （二）工程地点：采购人指定地点。</w:t>
            </w:r>
            <w:r>
              <w:br/>
            </w:r>
            <w:r>
              <w:rPr>
                <w:rFonts w:ascii="仿宋_GB2312" w:hAnsi="仿宋_GB2312" w:cs="仿宋_GB2312" w:eastAsia="仿宋_GB2312"/>
              </w:rPr>
              <w:t xml:space="preserve">  （三）计划工期：自合同签订之日起60日历日内完工。</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在施工期间，中标供应商必须严格按照治污减霾相关要求施工，并加强安全措施，并对施工人员进行安全教育，施工人员必须持证上岗。</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合同价款应是采购范围内全部工作内容的价格体现。包括人工费、材料费、机械费、设备费、安装费、管理费、社保费、成交代理服务费、税金等其他一切相关费用。供应商所报的价格应考虑到可能发生的所有与完成本项目相关服务及履行合同义务有关的一切费用。任何有选择的报价将不予接受，按无效磋商处理。 2、本项目所属行业为：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3、履约验收：涉及履约验收的，验收费用由中标人支付，费用标准按中标金额的5‰计算，不足5000元的，按5000元收取。 4、《3.1技术、服务标准和要求：（招单价的）供应商报价不允许超过标的单价》此款不做要求。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2024年度完整的财务报告，（成立时间至提交响应文件截止时间不足一年的可提供成立后任意时段的资产负债表）或在开标日期前六个月内其开户银行出具的资信证明，以上两种形式的资料提供任何一种即可（分支机构如无法提供财务审计报告，须出具包含分支机构的财务数据的总公司财务审计报告）；事业单位零余额账户提供相应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完整的财务报告，（成立时间至提交响应文件截止时间不足一年的可提供成立后任意时段的资产负债表）或在开标日期前六个月内其开户银行出具的资信证明，以上两种形式的资料提供任何一种即可（分支机构如无法提供财务审计报告，须出具包含分支机构的财务数据的总公司财务审计报告）；事业单位零余额账户提供相应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具有独立承担民事责任能力的法人或其他组织，提供有效存续的营业执照或事业单位法人证书或非企业专业服务机构执业许可证或民办非企业单位登记证书或自然人的身份证明;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提供已缴纳的2024年7月起至少三个月的纳税证明或完税证明，纳税证明或完税证明上应有代收机构或税务机关的公章或业务专用章。依法免税的供应商应提供相关文件证明；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履约能力承诺</w:t>
            </w:r>
          </w:p>
        </w:tc>
        <w:tc>
          <w:tcPr>
            <w:tcW w:type="dxa" w:w="3322"/>
          </w:tcPr>
          <w:p>
            <w:pPr>
              <w:pStyle w:val="null3"/>
            </w:pPr>
            <w:r>
              <w:rPr>
                <w:rFonts w:ascii="仿宋_GB2312" w:hAnsi="仿宋_GB2312" w:cs="仿宋_GB2312" w:eastAsia="仿宋_GB2312"/>
              </w:rPr>
              <w:t>供应商须提供具有履行合同所必需的设备和专业技术能力的承诺；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已缴存的2024年7月起至少三个月的社会保障资金缴存单据或社保机构开具的社会保险参保缴费情况证明，单据或证明上应有社保机构或代收机构的公章或业务专用章。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出具参加本次政府采购活动前三年内在经营活动中没有重大违法记录的书面声明；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法定代表人参加磋商的提供法定代表人身份证明及身份证，委托代理人参加磋商的提供授权委托书及委托代理人身份证；自然人只需提供身份证；备注：分支机构由分支机构负责人授权即可；</w:t>
            </w:r>
          </w:p>
        </w:tc>
        <w:tc>
          <w:tcPr>
            <w:tcW w:type="dxa" w:w="1661"/>
          </w:tcPr>
          <w:p>
            <w:pPr>
              <w:pStyle w:val="null3"/>
            </w:pPr>
            <w:r>
              <w:rPr>
                <w:rFonts w:ascii="仿宋_GB2312" w:hAnsi="仿宋_GB2312" w:cs="仿宋_GB2312" w:eastAsia="仿宋_GB2312"/>
              </w:rPr>
              <w:t>供应商应提交的相关资格证明材料 法定代表人授权委托书.docx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供应商须具备建设行政主管部门颁发的市政公用工程施工总承包三级及以上资质；且具备合格有效的安全生产许可证；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项目经理要求</w:t>
            </w:r>
          </w:p>
        </w:tc>
        <w:tc>
          <w:tcPr>
            <w:tcW w:type="dxa" w:w="3322"/>
          </w:tcPr>
          <w:p>
            <w:pPr>
              <w:pStyle w:val="null3"/>
            </w:pPr>
            <w:r>
              <w:rPr>
                <w:rFonts w:ascii="仿宋_GB2312" w:hAnsi="仿宋_GB2312" w:cs="仿宋_GB2312" w:eastAsia="仿宋_GB2312"/>
              </w:rPr>
              <w:t>拟派项目经理具备市政公用工程专业注册建造师二级及以上执业资格及其本人具有有效的安全生产考核合格证（建安B证），在本单位注册且无在建工程；</w:t>
            </w:r>
          </w:p>
        </w:tc>
        <w:tc>
          <w:tcPr>
            <w:tcW w:type="dxa" w:w="1661"/>
          </w:tcPr>
          <w:p>
            <w:pPr>
              <w:pStyle w:val="null3"/>
            </w:pPr>
            <w:r>
              <w:rPr>
                <w:rFonts w:ascii="仿宋_GB2312" w:hAnsi="仿宋_GB2312" w:cs="仿宋_GB2312" w:eastAsia="仿宋_GB2312"/>
              </w:rPr>
              <w:t>项目管理机构组成表 供应商应提交的相关资格证明材料 主要人员简历表</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本项目不接受联合体磋商（提供书面声明材料）。</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施工组织设计.docx 响应文件封面 项目管理机构组成表 残疾人福利性单位声明函 报价函 标的清单 供应商类似项目业绩一览表 响应函 法定代表人授权委托书.docx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供应商提供的响应文件内容无实质性遗漏</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施工组织设计.docx 响应文件封面 项目管理机构组成表 报价函 标的清单 供应商类似项目业绩一览表 响应函 法定代表人授权委托书.docx 主要人员简历表 陕西省政府采购供应商拒绝政府采购领域商业贿赂承诺书.docx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质量要求</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施工总体方案</w:t>
            </w:r>
          </w:p>
        </w:tc>
        <w:tc>
          <w:tcPr>
            <w:tcW w:type="dxa" w:w="2492"/>
          </w:tcPr>
          <w:p>
            <w:pPr>
              <w:pStyle w:val="null3"/>
            </w:pPr>
            <w:r>
              <w:rPr>
                <w:rFonts w:ascii="仿宋_GB2312" w:hAnsi="仿宋_GB2312" w:cs="仿宋_GB2312" w:eastAsia="仿宋_GB2312"/>
              </w:rPr>
              <w:t>要求方案针对性强，完整可行，计划合理，能满足采购人的实际需求。 1、方案明确、细节考虑到位，有针对性、有实施能力，赋7-10分； 2、方案、细节基本明确、可行，赋3-7分； 3、方案内容简单粗略，赋0-3分。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1、措施详尽、合理、针对性强，赋3-6分； 2、措施笼统简单，赋0-3分。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1、措施详尽、合理、针对性强，赋3-6分； 2、措施笼统简单，赋0-3分。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1、措施详尽、合理、针对性强，赋3-6分； 2、措施笼统简单，赋0-3分。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确保环境保护的技术组织措施</w:t>
            </w:r>
          </w:p>
        </w:tc>
        <w:tc>
          <w:tcPr>
            <w:tcW w:type="dxa" w:w="2492"/>
          </w:tcPr>
          <w:p>
            <w:pPr>
              <w:pStyle w:val="null3"/>
            </w:pPr>
            <w:r>
              <w:rPr>
                <w:rFonts w:ascii="仿宋_GB2312" w:hAnsi="仿宋_GB2312" w:cs="仿宋_GB2312" w:eastAsia="仿宋_GB2312"/>
              </w:rPr>
              <w:t>1、措施详尽、合理、针对性强，赋3-6分； 2、措施笼统简单，赋0-3分。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1、措施详尽、合理、针对性强，赋2-5分； 2、措施笼统简单，赋0-2分。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施工组织、项目管理机构与劳动力安排计划</w:t>
            </w:r>
          </w:p>
        </w:tc>
        <w:tc>
          <w:tcPr>
            <w:tcW w:type="dxa" w:w="2492"/>
          </w:tcPr>
          <w:p>
            <w:pPr>
              <w:pStyle w:val="null3"/>
            </w:pPr>
            <w:r>
              <w:rPr>
                <w:rFonts w:ascii="仿宋_GB2312" w:hAnsi="仿宋_GB2312" w:cs="仿宋_GB2312" w:eastAsia="仿宋_GB2312"/>
              </w:rPr>
              <w:t>1、人员配备合理、分工明确、管理制度完善，赋2-5分； 2、人员配备简单、分工模糊、管理制度粗略，赋0-2分。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施工总平面布置</w:t>
            </w:r>
          </w:p>
        </w:tc>
        <w:tc>
          <w:tcPr>
            <w:tcW w:type="dxa" w:w="2492"/>
          </w:tcPr>
          <w:p>
            <w:pPr>
              <w:pStyle w:val="null3"/>
            </w:pPr>
            <w:r>
              <w:rPr>
                <w:rFonts w:ascii="仿宋_GB2312" w:hAnsi="仿宋_GB2312" w:cs="仿宋_GB2312" w:eastAsia="仿宋_GB2312"/>
              </w:rPr>
              <w:t>合理、可行赋0-4分。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施工机械设施齐全，性能指标及材料投入能够满足项目要求。根据证明材料进行赋分。 1、提供的证明材料齐全，满足项目要求，赋3-6分； 2、提供的证明材料笼统简单，赋0-3分。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项目完工后的维修服务及保修承诺</w:t>
            </w:r>
          </w:p>
        </w:tc>
        <w:tc>
          <w:tcPr>
            <w:tcW w:type="dxa" w:w="2492"/>
          </w:tcPr>
          <w:p>
            <w:pPr>
              <w:pStyle w:val="null3"/>
            </w:pPr>
            <w:r>
              <w:rPr>
                <w:rFonts w:ascii="仿宋_GB2312" w:hAnsi="仿宋_GB2312" w:cs="仿宋_GB2312" w:eastAsia="仿宋_GB2312"/>
              </w:rPr>
              <w:t>项目完工后的维修服务及保修承诺：1、全面、可行、完善计4-6分；2、服务及承诺较详细，相关工作基本落实计2-4分；3、服务及承诺粗略简单、无针对性计0-2分。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提供2022年至今类似工程项目（以施工合同复印件加盖公章为准）每个计2分，最高得10分。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（1）本项目设最高限价。供应商的磋商总报价超过最高限价的视为无效标，不再参与下一步评审。 （2）满足磋商文件实质性要求且最终报价最低的供应商的价格为磋商基准价，其价格分为满分30分。 （3）磋商报价得分=（磋商基准价/最终磋商报价）×30。 （4）磋商报价不完整的，不进入磋商基准价的计算，本项得0分。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详见附件：施工组织设计.docx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