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版本号：ZJXG202507720250822001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新城区应急智慧平台建设项目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ZJXG2025077</w:t>
      </w:r>
      <w:r>
        <w:br/>
      </w:r>
      <w:r>
        <w:br/>
      </w:r>
      <w:r>
        <w:br/>
      </w:r>
    </w:p>
    <w:p>
      <w:pPr>
        <w:pStyle w:val="null3"/>
        <w:jc w:val="center"/>
        <w:outlineLvl w:val="2"/>
      </w:pPr>
      <w:r>
        <w:rPr>
          <w:rFonts w:ascii="仿宋_GB2312" w:hAnsi="仿宋_GB2312" w:cs="仿宋_GB2312" w:eastAsia="仿宋_GB2312"/>
          <w:sz w:val="28"/>
          <w:b/>
        </w:rPr>
        <w:t>西安市新城区应急管理局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西安市新城区应急管理局</w:t>
      </w:r>
      <w:r>
        <w:rPr>
          <w:rFonts w:ascii="仿宋_GB2312" w:hAnsi="仿宋_GB2312" w:cs="仿宋_GB2312" w:eastAsia="仿宋_GB2312"/>
        </w:rPr>
        <w:t>委托，拟对</w:t>
      </w:r>
      <w:r>
        <w:rPr>
          <w:rFonts w:ascii="仿宋_GB2312" w:hAnsi="仿宋_GB2312" w:cs="仿宋_GB2312" w:eastAsia="仿宋_GB2312"/>
        </w:rPr>
        <w:t>新城区应急智慧平台建设项目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新城区应急智慧平台建设项目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新城区应急智慧平台建设项目，详见竞争性磋商文件。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采购包1（新城区应急智慧平台建设项目）：属于专门面向中小企业采购。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18392116041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计取。招标代理服务费可以采取现金或转账方式缴纳。 成交单位服务费交纳信息：银行户名：陕西中鉴项目管理有限公司 开户行：招商银行股份有限公司西安分行营业部 账号：129911072510777 联系电话：029-89193153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西安市新城区应急管理局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联系人：白洁</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新城区应急智慧平台建设项目，详见竞争性磋商文件。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一、项目背景</w:t>
            </w:r>
          </w:p>
          <w:p>
            <w:pPr>
              <w:pStyle w:val="null3"/>
              <w:ind w:firstLine="420"/>
              <w:jc w:val="both"/>
            </w:pPr>
            <w:r>
              <w:rPr>
                <w:rFonts w:ascii="仿宋_GB2312" w:hAnsi="仿宋_GB2312" w:cs="仿宋_GB2312" w:eastAsia="仿宋_GB2312"/>
                <w:sz w:val="21"/>
              </w:rPr>
              <w:t>根据《中共西安市委办公厅、西安市人民政府办公厅关于印发</w:t>
            </w:r>
            <w:r>
              <w:rPr>
                <w:rFonts w:ascii="仿宋_GB2312" w:hAnsi="仿宋_GB2312" w:cs="仿宋_GB2312" w:eastAsia="仿宋_GB2312"/>
                <w:sz w:val="21"/>
              </w:rPr>
              <w:t>(</w:t>
            </w:r>
            <w:r>
              <w:rPr>
                <w:rFonts w:ascii="仿宋_GB2312" w:hAnsi="仿宋_GB2312" w:cs="仿宋_GB2312" w:eastAsia="仿宋_GB2312"/>
                <w:sz w:val="21"/>
              </w:rPr>
              <w:t>西安市新城区机构改革方案</w:t>
            </w:r>
            <w:r>
              <w:rPr>
                <w:rFonts w:ascii="仿宋_GB2312" w:hAnsi="仿宋_GB2312" w:cs="仿宋_GB2312" w:eastAsia="仿宋_GB2312"/>
                <w:sz w:val="21"/>
              </w:rPr>
              <w:t>)</w:t>
            </w:r>
            <w:r>
              <w:rPr>
                <w:rFonts w:ascii="仿宋_GB2312" w:hAnsi="仿宋_GB2312" w:cs="仿宋_GB2312" w:eastAsia="仿宋_GB2312"/>
                <w:sz w:val="21"/>
              </w:rPr>
              <w:t>的通知》</w:t>
            </w:r>
            <w:r>
              <w:rPr>
                <w:rFonts w:ascii="仿宋_GB2312" w:hAnsi="仿宋_GB2312" w:cs="仿宋_GB2312" w:eastAsia="仿宋_GB2312"/>
                <w:sz w:val="21"/>
              </w:rPr>
              <w:t>(</w:t>
            </w:r>
            <w:r>
              <w:rPr>
                <w:rFonts w:ascii="仿宋_GB2312" w:hAnsi="仿宋_GB2312" w:cs="仿宋_GB2312" w:eastAsia="仿宋_GB2312"/>
                <w:sz w:val="21"/>
              </w:rPr>
              <w:t>市办字</w:t>
            </w:r>
            <w:r>
              <w:rPr>
                <w:rFonts w:ascii="仿宋_GB2312" w:hAnsi="仿宋_GB2312" w:cs="仿宋_GB2312" w:eastAsia="仿宋_GB2312"/>
                <w:sz w:val="21"/>
              </w:rPr>
              <w:t>(201920</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制定的相关管理要求。相关管理单位需要负责全区应急管理工作，指导各街道、各部门应对安全生产类、自然灾害类等突发事件和综合防灾减灾救灾工作。并且依法行使安全生产综合监督管理职权，指导协调、监督检查各街道和有关部门安全生产工作，组织开展安全生产巡查、考核工作。依法监督检查籍区内工商贸生产经营单位贯彻执行安全生产法律法规情况及其安全生产条件和有关设备</w:t>
            </w:r>
            <w:r>
              <w:rPr>
                <w:rFonts w:ascii="仿宋_GB2312" w:hAnsi="仿宋_GB2312" w:cs="仿宋_GB2312" w:eastAsia="仿宋_GB2312"/>
                <w:sz w:val="21"/>
              </w:rPr>
              <w:t>(</w:t>
            </w:r>
            <w:r>
              <w:rPr>
                <w:rFonts w:ascii="仿宋_GB2312" w:hAnsi="仿宋_GB2312" w:cs="仿宋_GB2312" w:eastAsia="仿宋_GB2312"/>
                <w:sz w:val="21"/>
              </w:rPr>
              <w:t>特种设备除外</w:t>
            </w:r>
            <w:r>
              <w:rPr>
                <w:rFonts w:ascii="仿宋_GB2312" w:hAnsi="仿宋_GB2312" w:cs="仿宋_GB2312" w:eastAsia="仿宋_GB2312"/>
                <w:sz w:val="21"/>
              </w:rPr>
              <w:t>)</w:t>
            </w:r>
            <w:r>
              <w:rPr>
                <w:rFonts w:ascii="仿宋_GB2312" w:hAnsi="仿宋_GB2312" w:cs="仿宋_GB2312" w:eastAsia="仿宋_GB2312"/>
                <w:sz w:val="21"/>
              </w:rPr>
              <w:t>、材料、劳动防护用品的安全生产管理工作。负责监督管理辖区内工商贸行业企业安全生产工作，依法组织并指导监督实施安全生产准入制度。依法组织指导全区生产安全事故调查处理，监督事故查处、责任追究和整改措施落实情况。组织开展自然灾害类突发事件的调查评估工作。</w:t>
            </w:r>
          </w:p>
          <w:p>
            <w:pPr>
              <w:pStyle w:val="null3"/>
              <w:ind w:firstLine="420"/>
              <w:jc w:val="both"/>
            </w:pPr>
            <w:r>
              <w:rPr>
                <w:rFonts w:ascii="仿宋_GB2312" w:hAnsi="仿宋_GB2312" w:cs="仿宋_GB2312" w:eastAsia="仿宋_GB2312"/>
                <w:sz w:val="21"/>
              </w:rPr>
              <w:t>制定全区应急物资储备和应急救援装备规划并组织实施，会同区发改委等部门建立健全应急物资信息平台和调拨制度，在灾时统一调度。负责应急管理、安全生产宣传教育和培训工作，组织指导应急管理、安全生产、防灾减灾的科学技术研究、推广应用和信息化建设工作等。</w:t>
            </w:r>
          </w:p>
          <w:p>
            <w:pPr>
              <w:pStyle w:val="null3"/>
              <w:ind w:firstLine="420"/>
              <w:jc w:val="both"/>
            </w:pPr>
            <w:r>
              <w:rPr>
                <w:rFonts w:ascii="仿宋_GB2312" w:hAnsi="仿宋_GB2312" w:cs="仿宋_GB2312" w:eastAsia="仿宋_GB2312"/>
                <w:sz w:val="21"/>
              </w:rPr>
              <w:t>为解决检查项目繁杂、种类众多的问题，新城区应急管理局已初步完成信息管理体系建设。该体系采用</w:t>
            </w:r>
            <w:r>
              <w:rPr>
                <w:rFonts w:ascii="仿宋_GB2312" w:hAnsi="仿宋_GB2312" w:cs="仿宋_GB2312" w:eastAsia="仿宋_GB2312"/>
                <w:sz w:val="21"/>
              </w:rPr>
              <w:t>“</w:t>
            </w:r>
            <w:r>
              <w:rPr>
                <w:rFonts w:ascii="仿宋_GB2312" w:hAnsi="仿宋_GB2312" w:cs="仿宋_GB2312" w:eastAsia="仿宋_GB2312"/>
                <w:sz w:val="21"/>
              </w:rPr>
              <w:t>APP+</w:t>
            </w:r>
            <w:r>
              <w:rPr>
                <w:rFonts w:ascii="仿宋_GB2312" w:hAnsi="仿宋_GB2312" w:cs="仿宋_GB2312" w:eastAsia="仿宋_GB2312"/>
                <w:sz w:val="21"/>
              </w:rPr>
              <w:t>后台管理系统”模式，实现了对辖区内各企业、单位的检查、教育、考试及通知等工作的线上化运作，目前处于试运行阶段，各企业反馈均为积极肯定。</w:t>
            </w:r>
          </w:p>
          <w:p>
            <w:pPr>
              <w:pStyle w:val="null3"/>
              <w:ind w:firstLine="420"/>
              <w:jc w:val="both"/>
            </w:pPr>
            <w:r>
              <w:rPr>
                <w:rFonts w:ascii="仿宋_GB2312" w:hAnsi="仿宋_GB2312" w:cs="仿宋_GB2312" w:eastAsia="仿宋_GB2312"/>
                <w:sz w:val="21"/>
              </w:rPr>
              <w:t>为进一步深化信息管理手段的落地应用，推动更多工作与信息化项目深度融合，计划将辖区内的防汛管理、应急减灾、应急救援、应急培训等工作纳入新</w:t>
            </w:r>
            <w:r>
              <w:rPr>
                <w:rFonts w:ascii="仿宋_GB2312" w:hAnsi="仿宋_GB2312" w:cs="仿宋_GB2312" w:eastAsia="仿宋_GB2312"/>
                <w:sz w:val="21"/>
              </w:rPr>
              <w:t>APP</w:t>
            </w:r>
            <w:r>
              <w:rPr>
                <w:rFonts w:ascii="仿宋_GB2312" w:hAnsi="仿宋_GB2312" w:cs="仿宋_GB2312" w:eastAsia="仿宋_GB2312"/>
                <w:sz w:val="21"/>
              </w:rPr>
              <w:t>的功能范畴，并探索引入人工智能等新技术进行工作创新。基于此，拟开展智慧防汛护安云管理平台模块更新建设。</w:t>
            </w:r>
          </w:p>
          <w:p>
            <w:pPr>
              <w:pStyle w:val="null3"/>
              <w:jc w:val="both"/>
            </w:pPr>
            <w:r>
              <w:rPr>
                <w:rFonts w:ascii="仿宋_GB2312" w:hAnsi="仿宋_GB2312" w:cs="仿宋_GB2312" w:eastAsia="仿宋_GB2312"/>
                <w:sz w:val="28"/>
                <w:b/>
              </w:rPr>
              <w:t>二、项目目标</w:t>
            </w:r>
          </w:p>
          <w:p>
            <w:pPr>
              <w:pStyle w:val="null3"/>
              <w:ind w:firstLine="420"/>
              <w:jc w:val="both"/>
            </w:pPr>
            <w:r>
              <w:rPr>
                <w:rFonts w:ascii="仿宋_GB2312" w:hAnsi="仿宋_GB2312" w:cs="仿宋_GB2312" w:eastAsia="仿宋_GB2312"/>
                <w:sz w:val="21"/>
              </w:rPr>
              <w:t>通过本项目的执行，能将更多的工作场景和信息化结合，深化信息管理手段应用，实现防汛管理、应急减灾、应急救援、应急培训等辖区内重点工作与新</w:t>
            </w:r>
            <w:r>
              <w:rPr>
                <w:rFonts w:ascii="仿宋_GB2312" w:hAnsi="仿宋_GB2312" w:cs="仿宋_GB2312" w:eastAsia="仿宋_GB2312"/>
                <w:sz w:val="21"/>
              </w:rPr>
              <w:t>APP</w:t>
            </w:r>
            <w:r>
              <w:rPr>
                <w:rFonts w:ascii="仿宋_GB2312" w:hAnsi="仿宋_GB2312" w:cs="仿宋_GB2312" w:eastAsia="仿宋_GB2312"/>
                <w:sz w:val="21"/>
              </w:rPr>
              <w:t>的深度融合，拓展平台服务范畴，提升工作线上化、一体化水平。探索引入人工智能等新技术，推动工作模式创新，增强防汛管理、应急处置等工作的智能化程度，提高工作效率与精准性。完善智慧防汛护安云平台功能体系，通过模块更新建设，打造更全面、高效、智能的综合性应急管理信息化平台，为辖区应急管理工作提供更有力的技术支撑。</w:t>
            </w:r>
          </w:p>
          <w:p>
            <w:pPr>
              <w:pStyle w:val="null3"/>
              <w:jc w:val="both"/>
            </w:pPr>
            <w:r>
              <w:rPr>
                <w:rFonts w:ascii="仿宋_GB2312" w:hAnsi="仿宋_GB2312" w:cs="仿宋_GB2312" w:eastAsia="仿宋_GB2312"/>
                <w:sz w:val="28"/>
                <w:b/>
              </w:rPr>
              <w:t>三、功能需求描述</w:t>
            </w:r>
          </w:p>
          <w:p>
            <w:pPr>
              <w:pStyle w:val="null3"/>
              <w:jc w:val="both"/>
            </w:pPr>
            <w:r>
              <w:rPr>
                <w:rFonts w:ascii="仿宋_GB2312" w:hAnsi="仿宋_GB2312" w:cs="仿宋_GB2312" w:eastAsia="仿宋_GB2312"/>
                <w:sz w:val="24"/>
                <w:b/>
              </w:rPr>
              <w:t>3.1 APP</w:t>
            </w:r>
            <w:r>
              <w:rPr>
                <w:rFonts w:ascii="仿宋_GB2312" w:hAnsi="仿宋_GB2312" w:cs="仿宋_GB2312" w:eastAsia="仿宋_GB2312"/>
                <w:sz w:val="24"/>
                <w:b/>
              </w:rPr>
              <w:t>功能模块及描述</w:t>
            </w:r>
          </w:p>
          <w:tbl>
            <w:tblPr>
              <w:tblInd w:type="dxa" w:w="90"/>
              <w:tblBorders>
                <w:top w:val="none" w:color="000000" w:sz="4"/>
                <w:left w:val="none" w:color="000000" w:sz="4"/>
                <w:bottom w:val="none" w:color="000000" w:sz="4"/>
                <w:right w:val="none" w:color="000000" w:sz="4"/>
                <w:insideH w:val="none"/>
                <w:insideV w:val="none"/>
              </w:tblBorders>
            </w:tblPr>
            <w:tblGrid>
              <w:gridCol w:w="428"/>
              <w:gridCol w:w="603"/>
              <w:gridCol w:w="1515"/>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功能模块</w:t>
                  </w:r>
                </w:p>
              </w:tc>
              <w:tc>
                <w:tcPr>
                  <w:tcW w:type="dxa" w:w="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功能菜单</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功能描述</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应急防汛</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防汛常识</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支持防汛常识的图文形式学习，内容涵盖防汛的基本常识</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重点活动</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支持视频形式的活动内容学习，内容涵盖防汛的重要活动，包括演练、比武、桌面推演和其他活动的视频资料；</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响应启动</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支持展示并查看最新的启动相应文件，并且根据文件的等级展示不同的底色，如（关注级</w:t>
                  </w:r>
                  <w:r>
                    <w:rPr>
                      <w:rFonts w:ascii="仿宋_GB2312" w:hAnsi="仿宋_GB2312" w:cs="仿宋_GB2312" w:eastAsia="仿宋_GB2312"/>
                      <w:sz w:val="18"/>
                    </w:rPr>
                    <w:t>-</w:t>
                  </w:r>
                  <w:r>
                    <w:rPr>
                      <w:rFonts w:ascii="仿宋_GB2312" w:hAnsi="仿宋_GB2312" w:cs="仿宋_GB2312" w:eastAsia="仿宋_GB2312"/>
                      <w:sz w:val="18"/>
                    </w:rPr>
                    <w:t>无底色、四级</w:t>
                  </w:r>
                  <w:r>
                    <w:rPr>
                      <w:rFonts w:ascii="仿宋_GB2312" w:hAnsi="仿宋_GB2312" w:cs="仿宋_GB2312" w:eastAsia="仿宋_GB2312"/>
                      <w:sz w:val="18"/>
                    </w:rPr>
                    <w:t>-</w:t>
                  </w:r>
                  <w:r>
                    <w:rPr>
                      <w:rFonts w:ascii="仿宋_GB2312" w:hAnsi="仿宋_GB2312" w:cs="仿宋_GB2312" w:eastAsia="仿宋_GB2312"/>
                      <w:sz w:val="18"/>
                    </w:rPr>
                    <w:t>蓝色、三级</w:t>
                  </w:r>
                  <w:r>
                    <w:rPr>
                      <w:rFonts w:ascii="仿宋_GB2312" w:hAnsi="仿宋_GB2312" w:cs="仿宋_GB2312" w:eastAsia="仿宋_GB2312"/>
                      <w:sz w:val="18"/>
                    </w:rPr>
                    <w:t>-</w:t>
                  </w:r>
                  <w:r>
                    <w:rPr>
                      <w:rFonts w:ascii="仿宋_GB2312" w:hAnsi="仿宋_GB2312" w:cs="仿宋_GB2312" w:eastAsia="仿宋_GB2312"/>
                      <w:sz w:val="18"/>
                    </w:rPr>
                    <w:t>黄色、二级</w:t>
                  </w:r>
                  <w:r>
                    <w:rPr>
                      <w:rFonts w:ascii="仿宋_GB2312" w:hAnsi="仿宋_GB2312" w:cs="仿宋_GB2312" w:eastAsia="仿宋_GB2312"/>
                      <w:sz w:val="18"/>
                    </w:rPr>
                    <w:t>-</w:t>
                  </w:r>
                  <w:r>
                    <w:rPr>
                      <w:rFonts w:ascii="仿宋_GB2312" w:hAnsi="仿宋_GB2312" w:cs="仿宋_GB2312" w:eastAsia="仿宋_GB2312"/>
                      <w:sz w:val="18"/>
                    </w:rPr>
                    <w:t>橙色、一级</w:t>
                  </w:r>
                  <w:r>
                    <w:rPr>
                      <w:rFonts w:ascii="仿宋_GB2312" w:hAnsi="仿宋_GB2312" w:cs="仿宋_GB2312" w:eastAsia="仿宋_GB2312"/>
                      <w:sz w:val="18"/>
                    </w:rPr>
                    <w:t>-</w:t>
                  </w:r>
                  <w:r>
                    <w:rPr>
                      <w:rFonts w:ascii="仿宋_GB2312" w:hAnsi="仿宋_GB2312" w:cs="仿宋_GB2312" w:eastAsia="仿宋_GB2312"/>
                      <w:sz w:val="18"/>
                    </w:rPr>
                    <w:t>红色）</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日常巡查</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支持进行日常防汛巡查内容的填报；街办、行业部门常规巡查、企业自查均可编辑上传；</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防汛预警通知</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APP</w:t>
                  </w:r>
                  <w:r>
                    <w:rPr>
                      <w:rFonts w:ascii="仿宋_GB2312" w:hAnsi="仿宋_GB2312" w:cs="仿宋_GB2312" w:eastAsia="仿宋_GB2312"/>
                      <w:sz w:val="18"/>
                    </w:rPr>
                    <w:t>支持防汛预警通知提醒，包括</w:t>
                  </w:r>
                  <w:r>
                    <w:rPr>
                      <w:rFonts w:ascii="仿宋_GB2312" w:hAnsi="仿宋_GB2312" w:cs="仿宋_GB2312" w:eastAsia="仿宋_GB2312"/>
                      <w:sz w:val="18"/>
                    </w:rPr>
                    <w:t>APP</w:t>
                  </w:r>
                  <w:r>
                    <w:rPr>
                      <w:rFonts w:ascii="仿宋_GB2312" w:hAnsi="仿宋_GB2312" w:cs="仿宋_GB2312" w:eastAsia="仿宋_GB2312"/>
                      <w:sz w:val="18"/>
                    </w:rPr>
                    <w:t>外标识、通知；</w:t>
                  </w:r>
                  <w:r>
                    <w:rPr>
                      <w:rFonts w:ascii="仿宋_GB2312" w:hAnsi="仿宋_GB2312" w:cs="仿宋_GB2312" w:eastAsia="仿宋_GB2312"/>
                      <w:sz w:val="18"/>
                    </w:rPr>
                    <w:t>APP</w:t>
                  </w:r>
                  <w:r>
                    <w:rPr>
                      <w:rFonts w:ascii="仿宋_GB2312" w:hAnsi="仿宋_GB2312" w:cs="仿宋_GB2312" w:eastAsia="仿宋_GB2312"/>
                      <w:sz w:val="18"/>
                    </w:rPr>
                    <w:t>内的弹窗提醒预警通知等</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预警通知查询统计</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支持进行预警通知接收情况的统计查询，以图文形式呈现，快速获取预警通知接收情况、未接收企业或单位信息</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智慧气象</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支持接入第三方页面，查询西安市的云图信息</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防汛点视频监控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支持接入目前防汛点的监控视频，在手机端查看并切换不同的防汛点位视频监控情况</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防灾减灾</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避难场所</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支持以地图的模式，标记出新城区的紧急避难场所，点击避难场所点位能查看到避难场所的名称、联系方式、查看详情介绍等；并且实现避难场所导引功能，避难导引推荐用户至最近的避难场所的逃生路线</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停机坪信息</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支持以地图的模式，标记出新城区的停机坪，点击停机坪点位能查看到避难场所的名称、联系方式、查看详情介绍等</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减灾宣传</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以图文形式展示并学习减灾宣传内容</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减灾应急预案</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支持点击不同的预案等级，展示不同的预案文档内容</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便民服务模块</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支持填报、登记、查询各类物资情况</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应急培训和救援</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应急救援</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支持山野救援</w:t>
                  </w:r>
                  <w:r>
                    <w:rPr>
                      <w:rFonts w:ascii="仿宋_GB2312" w:hAnsi="仿宋_GB2312" w:cs="仿宋_GB2312" w:eastAsia="仿宋_GB2312"/>
                      <w:sz w:val="18"/>
                    </w:rPr>
                    <w:t>/</w:t>
                  </w:r>
                  <w:r>
                    <w:rPr>
                      <w:rFonts w:ascii="仿宋_GB2312" w:hAnsi="仿宋_GB2312" w:cs="仿宋_GB2312" w:eastAsia="仿宋_GB2312"/>
                      <w:sz w:val="18"/>
                    </w:rPr>
                    <w:t>水域救援的救援信息填报；救援人员</w:t>
                  </w:r>
                  <w:r>
                    <w:rPr>
                      <w:rFonts w:ascii="仿宋_GB2312" w:hAnsi="仿宋_GB2312" w:cs="仿宋_GB2312" w:eastAsia="仿宋_GB2312"/>
                      <w:sz w:val="18"/>
                    </w:rPr>
                    <w:t>APP</w:t>
                  </w:r>
                  <w:r>
                    <w:rPr>
                      <w:rFonts w:ascii="仿宋_GB2312" w:hAnsi="仿宋_GB2312" w:cs="仿宋_GB2312" w:eastAsia="仿宋_GB2312"/>
                      <w:sz w:val="18"/>
                    </w:rPr>
                    <w:t>进行救援信息接收，执行并修改状态，救援人员支持上传救援信息和照片，并且能查询并展示所有的救援记录等</w:t>
                  </w:r>
                </w:p>
              </w:tc>
            </w:tr>
            <w:tr>
              <w:tc>
                <w:tcPr>
                  <w:tcW w:type="dxa" w:w="428"/>
                  <w:vMerge/>
                  <w:tcBorders>
                    <w:top w:val="none" w:color="000000" w:sz="4"/>
                    <w:left w:val="single" w:color="000000" w:sz="4"/>
                    <w:bottom w:val="single" w:color="000000" w:sz="4"/>
                    <w:right w:val="single" w:color="000000" w:sz="4"/>
                  </w:tcBorders>
                </w:tcP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应急培训</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支持进行培训信息填报、培训提供单位的信息查看；培训人员</w:t>
                  </w:r>
                  <w:r>
                    <w:rPr>
                      <w:rFonts w:ascii="仿宋_GB2312" w:hAnsi="仿宋_GB2312" w:cs="仿宋_GB2312" w:eastAsia="仿宋_GB2312"/>
                      <w:sz w:val="18"/>
                    </w:rPr>
                    <w:t>APP</w:t>
                  </w:r>
                  <w:r>
                    <w:rPr>
                      <w:rFonts w:ascii="仿宋_GB2312" w:hAnsi="仿宋_GB2312" w:cs="仿宋_GB2312" w:eastAsia="仿宋_GB2312"/>
                      <w:sz w:val="18"/>
                    </w:rPr>
                    <w:t>进行培训信息接收，执行并修改状态，培训人员支持上传培训信息和照片，并且能查询并展示所有的培训记录等</w:t>
                  </w:r>
                </w:p>
              </w:tc>
            </w:tr>
          </w:tbl>
          <w:p>
            <w:pPr>
              <w:pStyle w:val="null3"/>
              <w:jc w:val="both"/>
            </w:pPr>
            <w:r>
              <w:rPr>
                <w:rFonts w:ascii="仿宋_GB2312" w:hAnsi="仿宋_GB2312" w:cs="仿宋_GB2312" w:eastAsia="仿宋_GB2312"/>
                <w:sz w:val="24"/>
                <w:b/>
              </w:rPr>
              <w:t xml:space="preserve">3.2 </w:t>
            </w:r>
            <w:r>
              <w:rPr>
                <w:rFonts w:ascii="仿宋_GB2312" w:hAnsi="仿宋_GB2312" w:cs="仿宋_GB2312" w:eastAsia="仿宋_GB2312"/>
                <w:sz w:val="24"/>
                <w:b/>
              </w:rPr>
              <w:t>管理系统功能模块及描述</w:t>
            </w:r>
          </w:p>
          <w:tbl>
            <w:tblPr>
              <w:tblInd w:type="dxa" w:w="90"/>
              <w:tblBorders>
                <w:top w:val="none" w:color="000000" w:sz="4"/>
                <w:left w:val="none" w:color="000000" w:sz="4"/>
                <w:bottom w:val="none" w:color="000000" w:sz="4"/>
                <w:right w:val="none" w:color="000000" w:sz="4"/>
                <w:insideH w:val="none"/>
                <w:insideV w:val="none"/>
              </w:tblBorders>
            </w:tblPr>
            <w:tblGrid>
              <w:gridCol w:w="433"/>
              <w:gridCol w:w="604"/>
              <w:gridCol w:w="1510"/>
            </w:tblGrid>
            <w:tr>
              <w:tc>
                <w:tcPr>
                  <w:tcW w:type="dxa" w:w="4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防灾减灾救灾</w:t>
                  </w:r>
                </w:p>
              </w:tc>
              <w:tc>
                <w:tcPr>
                  <w:tcW w:type="dxa" w:w="6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防灾减灾救灾内容维护</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支持维护防汛常识的内容和信息，支持上传文字、图片等</w:t>
                  </w:r>
                </w:p>
              </w:tc>
            </w:tr>
            <w:tr>
              <w:tc>
                <w:tcPr>
                  <w:tcW w:type="dxa" w:w="433"/>
                  <w:vMerge/>
                  <w:tcBorders>
                    <w:top w:val="singl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支持维护重点活动信息，上传视频</w:t>
                  </w:r>
                </w:p>
              </w:tc>
            </w:tr>
            <w:tr>
              <w:tc>
                <w:tcPr>
                  <w:tcW w:type="dxa" w:w="433"/>
                  <w:vMerge/>
                  <w:tcBorders>
                    <w:top w:val="singl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支持维护响应启动的文件、文件等级、颜色等</w:t>
                  </w:r>
                </w:p>
              </w:tc>
            </w:tr>
            <w:tr>
              <w:tc>
                <w:tcPr>
                  <w:tcW w:type="dxa" w:w="433"/>
                  <w:vMerge/>
                  <w:tcBorders>
                    <w:top w:val="singl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支持维护减灾应急预案的文件、文件等级、颜色等</w:t>
                  </w:r>
                </w:p>
              </w:tc>
            </w:tr>
            <w:tr>
              <w:tc>
                <w:tcPr>
                  <w:tcW w:type="dxa" w:w="433"/>
                  <w:vMerge/>
                  <w:tcBorders>
                    <w:top w:val="singl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支持维护减灾宣传的内容和信息，支持上传文字、图片等</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日常巡查记录查看</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支持查看、导出、打印日常巡查记录，支持查看日常巡查记录详情信息</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防汛预警发布</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支持发布对应的防汛预警信息</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预警通知查询统计</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支持在后台查看预警通知接收情况的统计查询，以图文形式呈现，快速获取预警通知接收情况、未接收企业或单位信息</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智慧气象</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支持在后台管理系统中也接入第三方页面，查询西安市的云图信息</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防汛点视频监控</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支持在后台管理系统中也接入目前防汛点的监控视频，在手机端查看并切换不同的防汛点位视频监控情况</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避难场所管理</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支持维护所有的避难场所信息、地理坐标、位置、详情介绍等</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停机坪管理</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支持维护所有的停机坪信息、地理坐标、位置、详情介绍等</w:t>
                  </w:r>
                </w:p>
              </w:tc>
            </w:tr>
            <w:tr>
              <w:tc>
                <w:tcPr>
                  <w:tcW w:type="dxa" w:w="433"/>
                  <w:vMerge/>
                  <w:tcBorders>
                    <w:top w:val="singl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便民服务查询</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支持查看填报的便民服务信息</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应急救援和培训</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应急救援</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支持查看、导出、打印应急救援记录，支持查看应急救援记录详情信息</w:t>
                  </w:r>
                </w:p>
              </w:tc>
            </w:tr>
            <w:tr>
              <w:tc>
                <w:tcPr>
                  <w:tcW w:type="dxa" w:w="43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应急培训</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支持查看、导出、打印应急培训记录，支持查看应急培训记录详情信息</w:t>
                  </w:r>
                </w:p>
              </w:tc>
            </w:tr>
            <w:tr>
              <w:tc>
                <w:tcPr>
                  <w:tcW w:type="dxa" w:w="43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组织人员管理</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支持添加救援和培训人员</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管理大屏</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统计大屏</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根据新增的业务和内容，定制化修改大屏的展示指标和效果</w:t>
                  </w:r>
                </w:p>
              </w:tc>
            </w:tr>
            <w:tr>
              <w:tc>
                <w:tcPr>
                  <w:tcW w:type="dxa" w:w="43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明细大屏</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根据新增的业务和内容，定制化修改大屏的展示指标和效果</w:t>
                  </w:r>
                </w:p>
              </w:tc>
            </w:tr>
            <w:tr>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智能问答</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建立健全应急知识库，支持应急相关内容的</w:t>
                  </w:r>
                  <w:r>
                    <w:rPr>
                      <w:rFonts w:ascii="仿宋_GB2312" w:hAnsi="仿宋_GB2312" w:cs="仿宋_GB2312" w:eastAsia="仿宋_GB2312"/>
                      <w:sz w:val="18"/>
                    </w:rPr>
                    <w:t>APP</w:t>
                  </w:r>
                  <w:r>
                    <w:rPr>
                      <w:rFonts w:ascii="仿宋_GB2312" w:hAnsi="仿宋_GB2312" w:cs="仿宋_GB2312" w:eastAsia="仿宋_GB2312"/>
                      <w:sz w:val="18"/>
                    </w:rPr>
                    <w:t>内的</w:t>
                  </w:r>
                  <w:r>
                    <w:rPr>
                      <w:rFonts w:ascii="仿宋_GB2312" w:hAnsi="仿宋_GB2312" w:cs="仿宋_GB2312" w:eastAsia="仿宋_GB2312"/>
                      <w:sz w:val="18"/>
                    </w:rPr>
                    <w:t>AI</w:t>
                  </w:r>
                  <w:r>
                    <w:rPr>
                      <w:rFonts w:ascii="仿宋_GB2312" w:hAnsi="仿宋_GB2312" w:cs="仿宋_GB2312" w:eastAsia="仿宋_GB2312"/>
                      <w:sz w:val="18"/>
                    </w:rPr>
                    <w:t>问答，包括应急物资使用方法、管理办法、安全管理评级标准等一系列应急相关内容的智能问答</w:t>
                  </w:r>
                </w:p>
              </w:tc>
            </w:tr>
            <w:tr>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智能视频识别</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的视频识别技术及智能预警，包括视频识别 并判断水位上涨趋势等第一时间智能预警，</w:t>
                  </w:r>
                  <w:r>
                    <w:rPr>
                      <w:rFonts w:ascii="仿宋_GB2312" w:hAnsi="仿宋_GB2312" w:cs="仿宋_GB2312" w:eastAsia="仿宋_GB2312"/>
                      <w:sz w:val="18"/>
                    </w:rPr>
                    <w:t>APP</w:t>
                  </w:r>
                  <w:r>
                    <w:rPr>
                      <w:rFonts w:ascii="仿宋_GB2312" w:hAnsi="仿宋_GB2312" w:cs="仿宋_GB2312" w:eastAsia="仿宋_GB2312"/>
                      <w:sz w:val="18"/>
                    </w:rPr>
                    <w:t>接收信息等</w:t>
                  </w:r>
                </w:p>
              </w:tc>
            </w:tr>
            <w:tr>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数据分析</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w:t>
                  </w:r>
                  <w:r>
                    <w:rPr>
                      <w:rFonts w:ascii="仿宋_GB2312" w:hAnsi="仿宋_GB2312" w:cs="仿宋_GB2312" w:eastAsia="仿宋_GB2312"/>
                      <w:sz w:val="18"/>
                    </w:rPr>
                    <w:t>的数据分析功能，利用大数据及</w:t>
                  </w:r>
                  <w:r>
                    <w:rPr>
                      <w:rFonts w:ascii="仿宋_GB2312" w:hAnsi="仿宋_GB2312" w:cs="仿宋_GB2312" w:eastAsia="仿宋_GB2312"/>
                      <w:sz w:val="18"/>
                    </w:rPr>
                    <w:t>AI</w:t>
                  </w:r>
                  <w:r>
                    <w:rPr>
                      <w:rFonts w:ascii="仿宋_GB2312" w:hAnsi="仿宋_GB2312" w:cs="仿宋_GB2312" w:eastAsia="仿宋_GB2312"/>
                      <w:sz w:val="18"/>
                    </w:rPr>
                    <w:t>技术，智能分析各企业填报数据和各类风险类型，智能提醒和统计高风险单位、整改建议和措施等</w:t>
                  </w:r>
                </w:p>
              </w:tc>
            </w:tr>
          </w:tbl>
          <w:p>
            <w:pPr>
              <w:pStyle w:val="null3"/>
              <w:jc w:val="both"/>
            </w:pPr>
            <w:r>
              <w:rPr>
                <w:rFonts w:ascii="仿宋_GB2312" w:hAnsi="仿宋_GB2312" w:cs="仿宋_GB2312" w:eastAsia="仿宋_GB2312"/>
                <w:sz w:val="28"/>
                <w:b/>
              </w:rPr>
              <w:t>四、技术参数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 xml:space="preserve">响应时间：普通查询操作应在 </w:t>
            </w:r>
            <w:r>
              <w:rPr>
                <w:rFonts w:ascii="仿宋_GB2312" w:hAnsi="仿宋_GB2312" w:cs="仿宋_GB2312" w:eastAsia="仿宋_GB2312"/>
                <w:sz w:val="21"/>
              </w:rPr>
              <w:t xml:space="preserve">2 </w:t>
            </w:r>
            <w:r>
              <w:rPr>
                <w:rFonts w:ascii="仿宋_GB2312" w:hAnsi="仿宋_GB2312" w:cs="仿宋_GB2312" w:eastAsia="仿宋_GB2312"/>
                <w:sz w:val="21"/>
              </w:rPr>
              <w:t xml:space="preserve">秒内返回结果，复杂报表生成操作应在 </w:t>
            </w:r>
            <w:r>
              <w:rPr>
                <w:rFonts w:ascii="仿宋_GB2312" w:hAnsi="仿宋_GB2312" w:cs="仿宋_GB2312" w:eastAsia="仿宋_GB2312"/>
                <w:sz w:val="21"/>
              </w:rPr>
              <w:t xml:space="preserve">10 </w:t>
            </w:r>
            <w:r>
              <w:rPr>
                <w:rFonts w:ascii="仿宋_GB2312" w:hAnsi="仿宋_GB2312" w:cs="仿宋_GB2312" w:eastAsia="仿宋_GB2312"/>
                <w:sz w:val="21"/>
              </w:rPr>
              <w:t>秒内完成等。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吞吐量：每秒钟能够处理的查询请求数量：</w:t>
            </w:r>
            <w:r>
              <w:rPr>
                <w:rFonts w:ascii="仿宋_GB2312" w:hAnsi="仿宋_GB2312" w:cs="仿宋_GB2312" w:eastAsia="仿宋_GB2312"/>
                <w:sz w:val="21"/>
              </w:rPr>
              <w:t>500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并发用户数：能够支持的最大并发在线用户数量：</w:t>
            </w:r>
            <w:r>
              <w:rPr>
                <w:rFonts w:ascii="仿宋_GB2312" w:hAnsi="仿宋_GB2312" w:cs="仿宋_GB2312" w:eastAsia="仿宋_GB2312"/>
                <w:sz w:val="21"/>
              </w:rPr>
              <w:t>10000</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 xml:space="preserve">数据存储与处理能力：数据库能支持至少 </w:t>
            </w:r>
            <w:r>
              <w:rPr>
                <w:rFonts w:ascii="仿宋_GB2312" w:hAnsi="仿宋_GB2312" w:cs="仿宋_GB2312" w:eastAsia="仿宋_GB2312"/>
                <w:sz w:val="21"/>
              </w:rPr>
              <w:t xml:space="preserve">5 </w:t>
            </w:r>
            <w:r>
              <w:rPr>
                <w:rFonts w:ascii="仿宋_GB2312" w:hAnsi="仿宋_GB2312" w:cs="仿宋_GB2312" w:eastAsia="仿宋_GB2312"/>
                <w:sz w:val="21"/>
              </w:rPr>
              <w:t>年的业务数据存储</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系统架构模式：</w:t>
            </w:r>
            <w:r>
              <w:rPr>
                <w:rFonts w:ascii="仿宋_GB2312" w:hAnsi="仿宋_GB2312" w:cs="仿宋_GB2312" w:eastAsia="仿宋_GB2312"/>
                <w:sz w:val="21"/>
              </w:rPr>
              <w:t>B/S</w:t>
            </w:r>
            <w:r>
              <w:rPr>
                <w:rFonts w:ascii="仿宋_GB2312" w:hAnsi="仿宋_GB2312" w:cs="仿宋_GB2312" w:eastAsia="仿宋_GB2312"/>
                <w:sz w:val="21"/>
              </w:rPr>
              <w:t xml:space="preserve">（浏览器 </w:t>
            </w:r>
            <w:r>
              <w:rPr>
                <w:rFonts w:ascii="仿宋_GB2312" w:hAnsi="仿宋_GB2312" w:cs="仿宋_GB2312" w:eastAsia="仿宋_GB2312"/>
                <w:sz w:val="21"/>
              </w:rPr>
              <w:t xml:space="preserve">/ </w:t>
            </w:r>
            <w:r>
              <w:rPr>
                <w:rFonts w:ascii="仿宋_GB2312" w:hAnsi="仿宋_GB2312" w:cs="仿宋_GB2312" w:eastAsia="仿宋_GB2312"/>
                <w:sz w:val="21"/>
              </w:rPr>
              <w:t>服务器）架构</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 xml:space="preserve">开发技术栈：后端开发采用 </w:t>
            </w:r>
            <w:r>
              <w:rPr>
                <w:rFonts w:ascii="仿宋_GB2312" w:hAnsi="仿宋_GB2312" w:cs="仿宋_GB2312" w:eastAsia="仿宋_GB2312"/>
                <w:sz w:val="21"/>
              </w:rPr>
              <w:t xml:space="preserve">Java </w:t>
            </w:r>
            <w:r>
              <w:rPr>
                <w:rFonts w:ascii="仿宋_GB2312" w:hAnsi="仿宋_GB2312" w:cs="仿宋_GB2312" w:eastAsia="仿宋_GB2312"/>
                <w:sz w:val="21"/>
              </w:rPr>
              <w:t xml:space="preserve">语言的 </w:t>
            </w:r>
            <w:r>
              <w:rPr>
                <w:rFonts w:ascii="仿宋_GB2312" w:hAnsi="仿宋_GB2312" w:cs="仿宋_GB2312" w:eastAsia="仿宋_GB2312"/>
                <w:sz w:val="21"/>
              </w:rPr>
              <w:t xml:space="preserve">Spring Boot </w:t>
            </w:r>
            <w:r>
              <w:rPr>
                <w:rFonts w:ascii="仿宋_GB2312" w:hAnsi="仿宋_GB2312" w:cs="仿宋_GB2312" w:eastAsia="仿宋_GB2312"/>
                <w:sz w:val="21"/>
              </w:rPr>
              <w:t xml:space="preserve">框架，前端使用 </w:t>
            </w:r>
            <w:r>
              <w:rPr>
                <w:rFonts w:ascii="仿宋_GB2312" w:hAnsi="仿宋_GB2312" w:cs="仿宋_GB2312" w:eastAsia="仿宋_GB2312"/>
                <w:sz w:val="21"/>
              </w:rPr>
              <w:t xml:space="preserve">Vue.js </w:t>
            </w:r>
            <w:r>
              <w:rPr>
                <w:rFonts w:ascii="仿宋_GB2312" w:hAnsi="仿宋_GB2312" w:cs="仿宋_GB2312" w:eastAsia="仿宋_GB2312"/>
                <w:sz w:val="21"/>
              </w:rPr>
              <w:t xml:space="preserve">框架，数据库采用 </w:t>
            </w:r>
            <w:r>
              <w:rPr>
                <w:rFonts w:ascii="仿宋_GB2312" w:hAnsi="仿宋_GB2312" w:cs="仿宋_GB2312" w:eastAsia="仿宋_GB2312"/>
                <w:sz w:val="21"/>
              </w:rPr>
              <w:t xml:space="preserve">MySQL </w:t>
            </w:r>
            <w:r>
              <w:rPr>
                <w:rFonts w:ascii="仿宋_GB2312" w:hAnsi="仿宋_GB2312" w:cs="仿宋_GB2312" w:eastAsia="仿宋_GB2312"/>
                <w:sz w:val="21"/>
              </w:rPr>
              <w:t>关系型数据库</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 xml:space="preserve">系统扩展性：系统采用模块化设计，各模块之间具有低耦合性，便于独立升级；提供开放的 </w:t>
            </w:r>
            <w:r>
              <w:rPr>
                <w:rFonts w:ascii="仿宋_GB2312" w:hAnsi="仿宋_GB2312" w:cs="仿宋_GB2312" w:eastAsia="仿宋_GB2312"/>
                <w:sz w:val="21"/>
              </w:rPr>
              <w:t xml:space="preserve">API </w:t>
            </w:r>
            <w:r>
              <w:rPr>
                <w:rFonts w:ascii="仿宋_GB2312" w:hAnsi="仿宋_GB2312" w:cs="仿宋_GB2312" w:eastAsia="仿宋_GB2312"/>
                <w:sz w:val="21"/>
              </w:rPr>
              <w:t>接口，以便与其他外部系统进行集成；支持水平扩展，能够通过增加服务器节点等方式提升系统性能，满足业务增长带来的负载增加需求。</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安全性要求：</w:t>
            </w:r>
          </w:p>
          <w:p>
            <w:pPr>
              <w:pStyle w:val="null3"/>
              <w:ind w:firstLine="420"/>
              <w:jc w:val="both"/>
            </w:pPr>
            <w:r>
              <w:rPr>
                <w:rFonts w:ascii="仿宋_GB2312" w:hAnsi="仿宋_GB2312" w:cs="仿宋_GB2312" w:eastAsia="仿宋_GB2312"/>
                <w:sz w:val="21"/>
              </w:rPr>
              <w:t>数据加密：对用户密码在传输和存储过程中进行加密处理，采用行业标准的加密算法，确保数据的保密性。</w:t>
            </w:r>
          </w:p>
          <w:p>
            <w:pPr>
              <w:pStyle w:val="null3"/>
              <w:ind w:firstLine="420"/>
              <w:jc w:val="both"/>
            </w:pPr>
            <w:r>
              <w:rPr>
                <w:rFonts w:ascii="仿宋_GB2312" w:hAnsi="仿宋_GB2312" w:cs="仿宋_GB2312" w:eastAsia="仿宋_GB2312"/>
                <w:sz w:val="21"/>
              </w:rPr>
              <w:t>身份认证与授权：提供用户名</w:t>
            </w:r>
            <w:r>
              <w:rPr>
                <w:rFonts w:ascii="仿宋_GB2312" w:hAnsi="仿宋_GB2312" w:cs="仿宋_GB2312" w:eastAsia="仿宋_GB2312"/>
                <w:sz w:val="21"/>
              </w:rPr>
              <w:t xml:space="preserve">/ </w:t>
            </w:r>
            <w:r>
              <w:rPr>
                <w:rFonts w:ascii="仿宋_GB2312" w:hAnsi="仿宋_GB2312" w:cs="仿宋_GB2312" w:eastAsia="仿宋_GB2312"/>
                <w:sz w:val="21"/>
              </w:rPr>
              <w:t>密码的身份认证方式，并根据用户角色进行细粒度的授权管理，确保只有合法授权的用户能够访问相应的功能模块和数据资源。</w:t>
            </w:r>
          </w:p>
          <w:p>
            <w:pPr>
              <w:pStyle w:val="null3"/>
              <w:ind w:firstLine="420"/>
              <w:jc w:val="both"/>
            </w:pPr>
            <w:r>
              <w:rPr>
                <w:rFonts w:ascii="仿宋_GB2312" w:hAnsi="仿宋_GB2312" w:cs="仿宋_GB2312" w:eastAsia="仿宋_GB2312"/>
                <w:sz w:val="21"/>
              </w:rPr>
              <w:t>安全漏洞防护：具备防范常见网络安全攻击（如</w:t>
            </w:r>
            <w:r>
              <w:rPr>
                <w:rFonts w:ascii="仿宋_GB2312" w:hAnsi="仿宋_GB2312" w:cs="仿宋_GB2312" w:eastAsia="仿宋_GB2312"/>
                <w:sz w:val="21"/>
              </w:rPr>
              <w:t xml:space="preserve">SQL </w:t>
            </w:r>
            <w:r>
              <w:rPr>
                <w:rFonts w:ascii="仿宋_GB2312" w:hAnsi="仿宋_GB2312" w:cs="仿宋_GB2312" w:eastAsia="仿宋_GB2312"/>
                <w:sz w:val="21"/>
              </w:rPr>
              <w:t>注入、</w:t>
            </w:r>
            <w:r>
              <w:rPr>
                <w:rFonts w:ascii="仿宋_GB2312" w:hAnsi="仿宋_GB2312" w:cs="仿宋_GB2312" w:eastAsia="仿宋_GB2312"/>
                <w:sz w:val="21"/>
              </w:rPr>
              <w:t xml:space="preserve">XSS </w:t>
            </w:r>
            <w:r>
              <w:rPr>
                <w:rFonts w:ascii="仿宋_GB2312" w:hAnsi="仿宋_GB2312" w:cs="仿宋_GB2312" w:eastAsia="仿宋_GB2312"/>
                <w:sz w:val="21"/>
              </w:rPr>
              <w:t>攻击、</w:t>
            </w:r>
            <w:r>
              <w:rPr>
                <w:rFonts w:ascii="仿宋_GB2312" w:hAnsi="仿宋_GB2312" w:cs="仿宋_GB2312" w:eastAsia="仿宋_GB2312"/>
                <w:sz w:val="21"/>
              </w:rPr>
              <w:t xml:space="preserve">CSRF </w:t>
            </w:r>
            <w:r>
              <w:rPr>
                <w:rFonts w:ascii="仿宋_GB2312" w:hAnsi="仿宋_GB2312" w:cs="仿宋_GB2312" w:eastAsia="仿宋_GB2312"/>
                <w:sz w:val="21"/>
              </w:rPr>
              <w:t>攻击等）的能力，定期进行安全漏洞扫描和修复，及时更新系统组件和补丁，保障系统的安全性和稳定性。</w:t>
            </w:r>
          </w:p>
          <w:p>
            <w:pPr>
              <w:pStyle w:val="null3"/>
              <w:ind w:firstLine="420"/>
              <w:jc w:val="both"/>
            </w:pPr>
            <w:r>
              <w:rPr>
                <w:rFonts w:ascii="仿宋_GB2312" w:hAnsi="仿宋_GB2312" w:cs="仿宋_GB2312" w:eastAsia="仿宋_GB2312"/>
                <w:sz w:val="21"/>
              </w:rPr>
              <w:t>数据备份与恢复：制定数据备份策略，包括全量备份和增量备份的周期、备份数据的存储位置和方式等；确保在系统出现故障或数据丢失时能够快速有效地进行数据恢复，减少业务损失。</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 xml:space="preserve">操作系统兼容性：支持常见操作系统，包括但不限于： </w:t>
            </w:r>
            <w:r>
              <w:rPr>
                <w:rFonts w:ascii="仿宋_GB2312" w:hAnsi="仿宋_GB2312" w:cs="仿宋_GB2312" w:eastAsia="仿宋_GB2312"/>
                <w:sz w:val="21"/>
              </w:rPr>
              <w:t xml:space="preserve">Windows </w:t>
            </w:r>
            <w:r>
              <w:rPr>
                <w:rFonts w:ascii="仿宋_GB2312" w:hAnsi="仿宋_GB2312" w:cs="仿宋_GB2312" w:eastAsia="仿宋_GB2312"/>
                <w:sz w:val="21"/>
              </w:rPr>
              <w:t>系列、</w:t>
            </w:r>
            <w:r>
              <w:rPr>
                <w:rFonts w:ascii="仿宋_GB2312" w:hAnsi="仿宋_GB2312" w:cs="仿宋_GB2312" w:eastAsia="仿宋_GB2312"/>
                <w:sz w:val="21"/>
              </w:rPr>
              <w:t xml:space="preserve">Linux </w:t>
            </w:r>
            <w:r>
              <w:rPr>
                <w:rFonts w:ascii="仿宋_GB2312" w:hAnsi="仿宋_GB2312" w:cs="仿宋_GB2312" w:eastAsia="仿宋_GB2312"/>
                <w:sz w:val="21"/>
              </w:rPr>
              <w:t>发行版、</w:t>
            </w:r>
            <w:r>
              <w:rPr>
                <w:rFonts w:ascii="仿宋_GB2312" w:hAnsi="仿宋_GB2312" w:cs="仿宋_GB2312" w:eastAsia="仿宋_GB2312"/>
                <w:sz w:val="21"/>
              </w:rPr>
              <w:t>Mac OS</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浏览器兼容性：支持主流浏览器，包括但不限于</w:t>
            </w:r>
            <w:r>
              <w:rPr>
                <w:rFonts w:ascii="仿宋_GB2312" w:hAnsi="仿宋_GB2312" w:cs="仿宋_GB2312" w:eastAsia="仿宋_GB2312"/>
                <w:sz w:val="21"/>
              </w:rPr>
              <w:t>Chrome</w:t>
            </w:r>
            <w:r>
              <w:rPr>
                <w:rFonts w:ascii="仿宋_GB2312" w:hAnsi="仿宋_GB2312" w:cs="仿宋_GB2312" w:eastAsia="仿宋_GB2312"/>
                <w:sz w:val="21"/>
              </w:rPr>
              <w:t>、</w:t>
            </w:r>
            <w:r>
              <w:rPr>
                <w:rFonts w:ascii="仿宋_GB2312" w:hAnsi="仿宋_GB2312" w:cs="仿宋_GB2312" w:eastAsia="仿宋_GB2312"/>
                <w:sz w:val="21"/>
              </w:rPr>
              <w:t>Firefox</w:t>
            </w:r>
            <w:r>
              <w:rPr>
                <w:rFonts w:ascii="仿宋_GB2312" w:hAnsi="仿宋_GB2312" w:cs="仿宋_GB2312" w:eastAsia="仿宋_GB2312"/>
                <w:sz w:val="21"/>
              </w:rPr>
              <w:t>、</w:t>
            </w:r>
            <w:r>
              <w:rPr>
                <w:rFonts w:ascii="仿宋_GB2312" w:hAnsi="仿宋_GB2312" w:cs="仿宋_GB2312" w:eastAsia="仿宋_GB2312"/>
                <w:sz w:val="21"/>
              </w:rPr>
              <w:t>Edge</w:t>
            </w:r>
            <w:r>
              <w:rPr>
                <w:rFonts w:ascii="仿宋_GB2312" w:hAnsi="仿宋_GB2312" w:cs="仿宋_GB2312" w:eastAsia="仿宋_GB2312"/>
                <w:sz w:val="21"/>
              </w:rPr>
              <w:t>、</w:t>
            </w:r>
            <w:r>
              <w:rPr>
                <w:rFonts w:ascii="仿宋_GB2312" w:hAnsi="仿宋_GB2312" w:cs="仿宋_GB2312" w:eastAsia="仿宋_GB2312"/>
                <w:sz w:val="21"/>
              </w:rPr>
              <w:t>Safari</w:t>
            </w:r>
            <w:r>
              <w:rPr>
                <w:rFonts w:ascii="仿宋_GB2312" w:hAnsi="仿宋_GB2312" w:cs="仿宋_GB2312" w:eastAsia="仿宋_GB2312"/>
                <w:sz w:val="21"/>
              </w:rPr>
              <w:t>。</w:t>
            </w:r>
          </w:p>
          <w:p>
            <w:pPr>
              <w:pStyle w:val="null3"/>
              <w:jc w:val="both"/>
            </w:pPr>
            <w:r>
              <w:rPr>
                <w:rFonts w:ascii="仿宋_GB2312" w:hAnsi="仿宋_GB2312" w:cs="仿宋_GB2312" w:eastAsia="仿宋_GB2312"/>
                <w:sz w:val="28"/>
                <w:b/>
              </w:rPr>
              <w:t>五、服务要求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、服务名称：新城区应急智慧平台建设项目。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、服务范围：新城区应急智慧平台建设涉及的所有服务。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、服务要求：符合国家及行业现行质量标准要求。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、服务时间：自合同签订之日起</w:t>
            </w:r>
            <w:r>
              <w:rPr>
                <w:rFonts w:ascii="仿宋_GB2312" w:hAnsi="仿宋_GB2312" w:cs="仿宋_GB2312" w:eastAsia="仿宋_GB2312"/>
                <w:sz w:val="21"/>
              </w:rPr>
              <w:t>180</w:t>
            </w:r>
            <w:r>
              <w:rPr>
                <w:rFonts w:ascii="仿宋_GB2312" w:hAnsi="仿宋_GB2312" w:cs="仿宋_GB2312" w:eastAsia="仿宋_GB2312"/>
                <w:sz w:val="21"/>
              </w:rPr>
              <w:t>日历天内完成。</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、服务标准：合格。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对供应商提出的项目整体服务方案进行评审，从项目的整体需求、功能、安全、可行性等方面打分。分析准确合理，安全性及可行性强，完全满足采购需求，得12.0分；分析较准确合理，安全性及可行性较强，基本满足采购需求，得8.0分；分析不太准确，安全性及可行性不强，不能完全满足采购需求，得4.0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整体技术方案，对项目需求的理解、响应程度等方面进行阐述，综合评价打分，包括对系统重难点、业务需求、系统功能需求、实施要求的熟悉和理解程度等进行综合评比。根据方案的完整性和合理性等进行综合评分。 对需求理解深入、充分分析系统现状、难点及关键点，并提出有效的解决方案、对系统功能及操作流程等方面的阐述逻辑性强且思路清晰的得10.0分； 对需求理解深入、充分分析系统现状、难点及关键点，并提出有效的解决方案、对系统功能及操作流程等方面的阐述一般的得7.0分；对需求理解深入、充分分析系统现状、难点及关键点，并提出有效的解决方案、对系统功能及操作流程等方面的阐述有偏差的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系统升级实施方案</w:t>
            </w:r>
          </w:p>
        </w:tc>
        <w:tc>
          <w:tcPr>
            <w:tcW w:type="dxa" w:w="2492"/>
          </w:tcPr>
          <w:p>
            <w:pPr>
              <w:pStyle w:val="null3"/>
            </w:pPr>
            <w:r>
              <w:rPr>
                <w:rFonts w:ascii="仿宋_GB2312" w:hAnsi="仿宋_GB2312" w:cs="仿宋_GB2312" w:eastAsia="仿宋_GB2312"/>
              </w:rPr>
              <w:t>供应商根据采购需求阐述系统升级的实施方案（包括对基本功能、企业服务、政府监管、安全生产、消息中心等模块进行界面风格升级，提升系统易用性），根据方案的科学性、针对性和可操作性进行综合评分。方案内容全面、完善，实操性强，系统模块分解合理，组织架构完整的得10.0分；方案内容相对全面，实操能够满足采购人实际需求，系统模块分解相对合理，组织架构完整的得7.0分；方案内容不全面，实操不能满足采购人实际需求，缺项、漏项严重的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安全体系方案</w:t>
            </w:r>
          </w:p>
        </w:tc>
        <w:tc>
          <w:tcPr>
            <w:tcW w:type="dxa" w:w="2492"/>
          </w:tcPr>
          <w:p>
            <w:pPr>
              <w:pStyle w:val="null3"/>
            </w:pPr>
            <w:r>
              <w:rPr>
                <w:rFonts w:ascii="仿宋_GB2312" w:hAnsi="仿宋_GB2312" w:cs="仿宋_GB2312" w:eastAsia="仿宋_GB2312"/>
              </w:rPr>
              <w:t>供应商根据项目所涉及系统安全、信息安全、网络安全、终端安全做出细致的分析，并给出有效、合理的解决方案进行评分。 方案完全满足项目要求的得8.0分；方案基本满足项目要求的得5.0分；方案不能完全满足项目要求的得3.0分；未提供不得分。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供应商提供针对本项目的的服务保障措施，包括但不限于质量保障措施、组织保障、设备系统质量措施、业务安全保障措施等，确保工作有效运行；服务保障措施完善，能够确保工作的有效运行的得8.0分；服务保障措施基本完善的得5.0分；服务保障措施一般的得2.0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供应商提供针对本项目的安装、调试方案，根据安装、调试方案是否合理科学、措施得当进行评审。安装、调试方案详细可行，有针对性，完全满足项目要求的得6.0分；安装、调试方案有欠缺，可行性针对性稍有欠缺，的得4.0分；安装、调试方案不能完全满足项目要求的得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为确保信息系统的正常良好运行，供应商对服务范围内系统制订应急处置方案，要评估系统运行中可能发生的突然状况，并制定行之有效、详细具体的故障处理方案及故障响应时间。具备详细的应急方案，得6.0分；具备较详细的应急方案，得4.0分；应急方案较差的，得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计划包括：培训目标、培训对象、培训内容、培训方式、培训时长及次数、培训管理及考核等。培训方案详细全面、合理，与项目实施的配合程度高的得6.0分；培训方案较全面，较合理，与项目实施的配合程度一般的得4.0分；培训方案较简单，与项目实施的配合程度低的得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供应商针对本项目提供售后服务方案，包含但不限于①技术支持②系统维护③增值服务④故障排除⑤快速响应等方面。服务方案全面、合理、可行的得5.0分；有一项不符合的扣1.0分，扣完为止；未提供不得分。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拟投入本项目的主要开发团队成员分配合理，责任分工明确，得10.0分；有人员安排及人员配备说明得7.0分；人员分配不明确，责任划分模糊的得3.0分。 （备注：需提供相关证明材料）未按要求提供材料或复印件不清晰导致无法识别的不得分。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提供近三年（2022年08月01日至今）的类似项目业绩，每提供一份得3分，满分9分。业绩证明材料以中标通知书或合同的复印件或扫描件加盖公章为准。未提供不得分。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最终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