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版本号：YXZB-2025-090220250917001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解放门街道日间照料便民服务综合场所提升工程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YXZB-2025-0902</w:t>
      </w:r>
      <w:r>
        <w:br/>
      </w:r>
      <w:r>
        <w:br/>
      </w:r>
      <w:r>
        <w:br/>
      </w:r>
    </w:p>
    <w:p>
      <w:pPr>
        <w:pStyle w:val="null3"/>
        <w:jc w:val="center"/>
        <w:outlineLvl w:val="2"/>
      </w:pPr>
      <w:r>
        <w:rPr>
          <w:rFonts w:ascii="仿宋_GB2312" w:hAnsi="仿宋_GB2312" w:cs="仿宋_GB2312" w:eastAsia="仿宋_GB2312"/>
          <w:sz w:val="28"/>
          <w:b/>
        </w:rPr>
        <w:t>西安市新城区解放门街道办事处</w:t>
      </w:r>
    </w:p>
    <w:p>
      <w:pPr>
        <w:pStyle w:val="null3"/>
        <w:jc w:val="center"/>
        <w:outlineLvl w:val="2"/>
      </w:pPr>
      <w:r>
        <w:rPr>
          <w:rFonts w:ascii="仿宋_GB2312" w:hAnsi="仿宋_GB2312" w:cs="仿宋_GB2312" w:eastAsia="仿宋_GB2312"/>
          <w:sz w:val="28"/>
          <w:b/>
        </w:rPr>
        <w:t>陕西玥鑫项目管理有限公司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西安市新城区解放门街道办事处</w:t>
      </w:r>
      <w:r>
        <w:rPr>
          <w:rFonts w:ascii="仿宋_GB2312" w:hAnsi="仿宋_GB2312" w:cs="仿宋_GB2312" w:eastAsia="仿宋_GB2312"/>
        </w:rPr>
        <w:t>委托，拟对</w:t>
      </w:r>
      <w:r>
        <w:rPr>
          <w:rFonts w:ascii="仿宋_GB2312" w:hAnsi="仿宋_GB2312" w:cs="仿宋_GB2312" w:eastAsia="仿宋_GB2312"/>
        </w:rPr>
        <w:t>解放门街道日间照料便民服务综合场所提升工程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YXZB-2025-0902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解放门街道日间照料便民服务综合场所提升工程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解放门街道日间照料便民服务综合场所提升工程位于陕西省西安市新城区，建筑面积合计794㎡，共两层，每一层的建筑面积均为397㎡。包括室内外装饰装修工程、通风工程、给排水工程、电气工程、弱电工程、火灾报警工程、消火栓工程、喷淋工程及消防工程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采购包1（解放门街道日间照料便民服务综合场所提升工程）：属于专门面向中小企业采购。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1、拟派项目负责人资质和专业要求。：证书等级：二级（含）及以上注册建造师资格和有效的安全生产考核合格证书 专业：建筑工程 补充说明：未担任其他在建工程项目的项目经理，项目经理须在“陕西省建筑市场监管与诚信信息平台”可查询</w:t>
      </w:r>
    </w:p>
    <w:p>
      <w:pPr>
        <w:pStyle w:val="null3"/>
      </w:pPr>
      <w:r>
        <w:rPr>
          <w:rFonts w:ascii="仿宋_GB2312" w:hAnsi="仿宋_GB2312" w:cs="仿宋_GB2312" w:eastAsia="仿宋_GB2312"/>
        </w:rPr>
        <w:t>2、具有独立承担民事责任的能力：提供注册登记凭证（在中华人民共和国境内注册，并有效存续的营业执照/事业单位法人证书/非企业专业服务机构执业许可证/民办非企业单位登记证书、税务 登证、组织机构代码证，或“三证合一”后的注册登记证）；</w:t>
      </w:r>
    </w:p>
    <w:p>
      <w:pPr>
        <w:pStyle w:val="null3"/>
      </w:pPr>
      <w:r>
        <w:rPr>
          <w:rFonts w:ascii="仿宋_GB2312" w:hAnsi="仿宋_GB2312" w:cs="仿宋_GB2312" w:eastAsia="仿宋_GB2312"/>
        </w:rPr>
        <w:t>3、具有良好的商业信誉和健全的财务会计制度：提供2023年或2024年经审计的财务报告（包括三表一注，即资产负债表、利润表、现金流量表及其附注，成立时间至提交响应文件截止时间不足一 年的可提供成立后任意时段的资产负债表）；事业法人提供部门决算报告；或在磋商截止日期前六个月内其基本开户银行出具的资信证明（附《基本存款账户信息》或《银行开户许可证》复印件）； 或财政部门认可的政府采购专业担保机构出具的响应担保函； 以上三种形式的资料提供任何一种即可；</w:t>
      </w:r>
    </w:p>
    <w:p>
      <w:pPr>
        <w:pStyle w:val="null3"/>
      </w:pPr>
      <w:r>
        <w:rPr>
          <w:rFonts w:ascii="仿宋_GB2312" w:hAnsi="仿宋_GB2312" w:cs="仿宋_GB2312" w:eastAsia="仿宋_GB2312"/>
        </w:rPr>
        <w:t>4、具有履行合同所必需的设备和专业技术能力：提供具有履行合同所必需的设备和专业技术能力声明文件原件；</w:t>
      </w:r>
    </w:p>
    <w:p>
      <w:pPr>
        <w:pStyle w:val="null3"/>
      </w:pPr>
      <w:r>
        <w:rPr>
          <w:rFonts w:ascii="仿宋_GB2312" w:hAnsi="仿宋_GB2312" w:cs="仿宋_GB2312" w:eastAsia="仿宋_GB2312"/>
        </w:rPr>
        <w:t>5、具有依法缴纳税收的良好记录：提供缴费所属日期为开标时间前12个月内任一月份（开标时间当月不计入）的税收缴费凭据或税务机关出具的完税证明/在法规范围内不需提供的应出具书面说明和证明文件；</w:t>
      </w:r>
    </w:p>
    <w:p>
      <w:pPr>
        <w:pStyle w:val="null3"/>
      </w:pPr>
      <w:r>
        <w:rPr>
          <w:rFonts w:ascii="仿宋_GB2312" w:hAnsi="仿宋_GB2312" w:cs="仿宋_GB2312" w:eastAsia="仿宋_GB2312"/>
        </w:rPr>
        <w:t>6、具有依法缴纳社会保障资金的良好记录：提供缴费所属日期为开标时间前12个月内任一月份（开标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7、无重大违法记录声明：提供参加本次政府采购活动前3年内在经营活动中没有重大违法记录书面声明；</w:t>
      </w:r>
    </w:p>
    <w:p>
      <w:pPr>
        <w:pStyle w:val="null3"/>
      </w:pPr>
      <w:r>
        <w:rPr>
          <w:rFonts w:ascii="仿宋_GB2312" w:hAnsi="仿宋_GB2312" w:cs="仿宋_GB2312" w:eastAsia="仿宋_GB2312"/>
        </w:rPr>
        <w:t>8、信誉要求：供应商在递交响应文件截止时间前被“信用中国”网站列入失信被执行人或税收违法黑名单的，或在中国政府采购网（www.ccgp.gov.cn）列入政府采购严重违法失信行为记录名单的，不得参加投标；</w:t>
      </w:r>
    </w:p>
    <w:p>
      <w:pPr>
        <w:pStyle w:val="null3"/>
      </w:pPr>
      <w:r>
        <w:rPr>
          <w:rFonts w:ascii="仿宋_GB2312" w:hAnsi="仿宋_GB2312" w:cs="仿宋_GB2312" w:eastAsia="仿宋_GB2312"/>
        </w:rPr>
        <w:t>9、法定代表人委托授权书：法定代表人资格证明书（原件）或法定代表人委托授权书（原件，法人委派授权人参加的需提供）；</w:t>
      </w:r>
    </w:p>
    <w:p>
      <w:pPr>
        <w:pStyle w:val="null3"/>
      </w:pPr>
      <w:r>
        <w:rPr>
          <w:rFonts w:ascii="仿宋_GB2312" w:hAnsi="仿宋_GB2312" w:cs="仿宋_GB2312" w:eastAsia="仿宋_GB2312"/>
        </w:rPr>
        <w:t>10、资质要求：供应商需具备建筑装修装饰专业承包二级（含）及以上资质，并具有有效的《安全生产许可证》，供应商须在“陕西省建筑市场监管与诚信信息平台”可查询；</w:t>
      </w:r>
    </w:p>
    <w:p>
      <w:pPr>
        <w:pStyle w:val="null3"/>
      </w:pPr>
      <w:r>
        <w:rPr>
          <w:rFonts w:ascii="仿宋_GB2312" w:hAnsi="仿宋_GB2312" w:cs="仿宋_GB2312" w:eastAsia="仿宋_GB2312"/>
        </w:rPr>
        <w:t>11、中小企业声明函：本项目为专门面向中小企业采购项目须根据《政府采购促进中小企业发展管理办法》（财库﹝2020﹞46 号）的规定提供《中小企业声明函》；</w:t>
      </w:r>
    </w:p>
    <w:p>
      <w:pPr>
        <w:pStyle w:val="null3"/>
      </w:pPr>
      <w:r>
        <w:rPr>
          <w:rFonts w:ascii="仿宋_GB2312" w:hAnsi="仿宋_GB2312" w:cs="仿宋_GB2312" w:eastAsia="仿宋_GB2312"/>
        </w:rPr>
        <w:t>12、本项目不接受联合体投标：提供非联合体投标书面声明函。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西安市新城区解放门街道办事处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西安市新城区尚勤路600号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西安市新城区解放门街道办事处经办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029-87383859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陕西省西安市浐灞生态区欧亚大道1188号企业孵化中心G16 【集群】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孙梅雪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029-81141306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采购包1：2,857,751.03元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不足5000.00元，按5000.00元收取。此服务费应计入磋商报价中，但不需要单独开列。 2.采购代理服务费收取： 单位名称：陕西玥鑫项目管理有限公司 开户银行：中国建设银行股份有限公司西安祥和居支行 银行账户：6105 0110 1948 0000 0615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西安市新城区解放门街道办事处</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西安市新城区解放门街道办事处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西安市新城区解放门街道办事处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陕西玥鑫项目管理有限公司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联系人：孙梅雪</w:t>
      </w:r>
    </w:p>
    <w:p>
      <w:pPr>
        <w:pStyle w:val="null3"/>
      </w:pPr>
      <w:r>
        <w:rPr>
          <w:rFonts w:ascii="仿宋_GB2312" w:hAnsi="仿宋_GB2312" w:cs="仿宋_GB2312" w:eastAsia="仿宋_GB2312"/>
        </w:rPr>
        <w:t>联系电话：02981141306</w:t>
      </w:r>
    </w:p>
    <w:p>
      <w:pPr>
        <w:pStyle w:val="null3"/>
      </w:pPr>
      <w:r>
        <w:rPr>
          <w:rFonts w:ascii="仿宋_GB2312" w:hAnsi="仿宋_GB2312" w:cs="仿宋_GB2312" w:eastAsia="仿宋_GB2312"/>
        </w:rPr>
        <w:t>地址：陕西省西安市浐灞生态区欧亚大道1188号企业孵化中心G16 【集群】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2,857,751.03</w:t>
      </w:r>
    </w:p>
    <w:p>
      <w:pPr>
        <w:pStyle w:val="null3"/>
      </w:pPr>
      <w:r>
        <w:rPr>
          <w:rFonts w:ascii="仿宋_GB2312" w:hAnsi="仿宋_GB2312" w:cs="仿宋_GB2312" w:eastAsia="仿宋_GB2312"/>
        </w:rPr>
        <w:t>采购包最高限价（元）: 2,857,751.03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装修工程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2,857,751.03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达到国家相关行业标准，满足采购人使用要求。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1.工期：自合同签订之日起90日历天；2.本项目为据实结算。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证书等级：二级（含）及以上注册建造师资格和有效的安全生产考核合格证书 专业：建筑工程 补充说明：未担任其他在建工程项目的项目经理，项目经理须在“陕西省建筑市场监管与诚信信息平台”可查询</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提供注册登记凭证（在中华人民共和国境内注册，并有效存续的营业执照/事业单位法人证书/非企业专业服务机构执业许可证/民办非企业单位登记证书、税务 登证、组织机构代码证，或“三证合一”后的注册登记证）；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提供2023年或2024年经审计的财务报告（包括三表一注，即资产负债表、利润表、现金流量表及其附注，成立时间至提交响应文件截止时间不足一 年的可提供成立后任意时段的资产负债表）；事业法人提供部门决算报告；或在磋商截止日期前六个月内其基本开户银行出具的资信证明（附《基本存款账户信息》或《银行开户许可证》复印件）； 或财政部门认可的政府采购专业担保机构出具的响应担保函； 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提供具有履行合同所必需的设备和专业技术能力声明文件原件；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提供缴费所属日期为开标时间前12个月内任一月份（开标时间当月不计入）的税收缴费凭据或税务机关出具的完税证明/在法规范围内不需提供的应出具书面说明和证明文件；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提供参加本次政府采购活动前3年内在经营活动中没有重大违法记录书面声明；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供应商在递交响应文件截止时间前被“信用中国”网站列入失信被执行人或税收违法黑名单的，或在中国政府采购网（www.ccgp.gov.cn）列入政府采购严重违法失信行为记录名单的，不得参加投标；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法定代表人资格证明书（原件）或法定代表人委托授权书（原件，法人委派授权人参加的需提供）；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供应商需具备建筑装修装饰专业承包二级（含）及以上资质，并具有有效的《安全生产许可证》，供应商须在“陕西省建筑市场监管与诚信信息平台”可查询；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本项目为专门面向中小企业采购项目须根据《政府采购促进中小企业发展管理办法》（财库﹝2020﹞46 号）的规定提供《中小企业声明函》；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提供非联合体投标书面声明函。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磋商响应文件中项目名称、项目编号与本项目一致，按照竞争性磋商文件要求签字盖章，无遗漏</w:t>
            </w:r>
          </w:p>
        </w:tc>
        <w:tc>
          <w:tcPr>
            <w:tcW w:type="dxa" w:w="3322"/>
          </w:tcPr>
          <w:p>
            <w:pPr>
              <w:pStyle w:val="null3"/>
            </w:pPr>
            <w:r>
              <w:rPr>
                <w:rFonts w:ascii="仿宋_GB2312" w:hAnsi="仿宋_GB2312" w:cs="仿宋_GB2312" w:eastAsia="仿宋_GB2312"/>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供应商应提供2022年9月1日以后的类似业绩，业绩以合同及签订日期为评审依据，每提供1份计2分，最高共计10分。 说明：响应文件中附合同的复印件或扫描件并加盖申请人公章。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1.项目经理：具有相关专业中级及以上职称，得3.0分。须提供职称证书扫描件，未提供不得分。2.（1）项目部组成科学合理、人员表配置充足，有详细的人员配置清单，证明材料齐全，针对性强，能够很好的满足项目需求，得7.0分；（2）项目部组成科学合理、人员表配置较齐全，有人员配置清单，证明材料较齐全，基本满足项目需求，得5.0分； （3）项目部组成人员缺乏科学合理性，无人员配置清单，证明材料简单，无法满足项目需求，得3.0分；未提供不得分。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确保质量的技术组织措施。内容合理、方案具体可行、完全符合要求得7.0分；内容较合理、方案可行性一般，基本符合要求得5.0分；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确保文明施工的技术组织措施及环境保护措施。内容合理、方案具体可行、完全符合要求得7.0分；内容较合理、方案可行性一般，基本符合要求得5.0分；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施工机械配备和材料投入计划。计划完备，详细、可行性强计7.0分； 计划较合理、较详细、基本可行得5.0分； 计划欠缺或内容不完备得3.0分；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项目总体施工方案</w:t>
            </w:r>
          </w:p>
        </w:tc>
        <w:tc>
          <w:tcPr>
            <w:tcW w:type="dxa" w:w="2492"/>
          </w:tcPr>
          <w:p>
            <w:pPr>
              <w:pStyle w:val="null3"/>
            </w:pPr>
            <w:r>
              <w:rPr>
                <w:rFonts w:ascii="仿宋_GB2312" w:hAnsi="仿宋_GB2312" w:cs="仿宋_GB2312" w:eastAsia="仿宋_GB2312"/>
              </w:rPr>
              <w:t>项目总体施工方案。内容合理、方案具体可行、完全符合要求得7.0分；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施工进度表或施工网络图。整体进度安排（施工进度表或施工网络图）及各阶段进度保证措施内容合理、方案具体可行、完全符合要求得7.0分； 内容较合理、方案可行性一般，基本符合要求得5.0分； 内容不完备、方案可行性差、不能全面符合要求得3.0分；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劳动力安排计划及劳务分包情况表。措施完备，详细、可操作性强计7.0分； 措施基本合理、较详细、可操作性一般得5.0分；措施欠缺或内容不完备得3.0分；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施工总平面布置图。内容合理、方案具体可行、完全符合要求得7.0分； 内容较合理、方案可行性一般，基本符合要求得5.0分；内容不完备、方案可行性差、不能全面符合要求得3.0分；未提供不计分。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磋商报价得分=（评审基准价/最后磋商报价）×10 说明：本项目专门面对中小企业采购，故不再对各供应商价格进行优惠评审。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