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580D0">
      <w:pPr>
        <w:keepNext w:val="0"/>
        <w:keepLines w:val="0"/>
        <w:widowControl/>
        <w:suppressLineNumbers w:val="0"/>
        <w:shd w:val="clear" w:color="auto"/>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分项报价表</w:t>
      </w:r>
    </w:p>
    <w:p w14:paraId="6F1BDBE1">
      <w:pPr>
        <w:keepNext w:val="0"/>
        <w:keepLines w:val="0"/>
        <w:widowControl/>
        <w:suppressLineNumbers w:val="0"/>
        <w:shd w:val="clear" w:color="auto"/>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14:paraId="42634E06">
      <w:pPr>
        <w:keepNext w:val="0"/>
        <w:keepLines w:val="0"/>
        <w:widowControl/>
        <w:suppressLineNumbers w:val="0"/>
        <w:shd w:val="clear" w:color="auto"/>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项目名称：{项目名称} </w:t>
      </w:r>
    </w:p>
    <w:p w14:paraId="2EDE95D0">
      <w:pPr>
        <w:pStyle w:val="2"/>
        <w:shd w:val="clear"/>
        <w:rPr>
          <w:rFonts w:hint="eastAsia"/>
          <w:highlight w:val="none"/>
        </w:rPr>
      </w:pPr>
    </w:p>
    <w:tbl>
      <w:tblPr>
        <w:tblStyle w:val="4"/>
        <w:tblW w:w="4833" w:type="pct"/>
        <w:jc w:val="center"/>
        <w:tblLayout w:type="autofit"/>
        <w:tblCellMar>
          <w:top w:w="0" w:type="dxa"/>
          <w:left w:w="28" w:type="dxa"/>
          <w:bottom w:w="0" w:type="dxa"/>
          <w:right w:w="28" w:type="dxa"/>
        </w:tblCellMar>
      </w:tblPr>
      <w:tblGrid>
        <w:gridCol w:w="476"/>
        <w:gridCol w:w="2387"/>
        <w:gridCol w:w="760"/>
        <w:gridCol w:w="704"/>
        <w:gridCol w:w="1234"/>
        <w:gridCol w:w="1237"/>
        <w:gridCol w:w="1285"/>
      </w:tblGrid>
      <w:tr w14:paraId="5027DE6E">
        <w:tblPrEx>
          <w:tblCellMar>
            <w:top w:w="0" w:type="dxa"/>
            <w:left w:w="28" w:type="dxa"/>
            <w:bottom w:w="0" w:type="dxa"/>
            <w:right w:w="28" w:type="dxa"/>
          </w:tblCellMar>
        </w:tblPrEx>
        <w:trPr>
          <w:trHeight w:val="567" w:hRule="atLeast"/>
          <w:jc w:val="center"/>
        </w:trPr>
        <w:tc>
          <w:tcPr>
            <w:tcW w:w="272" w:type="pct"/>
            <w:tcBorders>
              <w:top w:val="single" w:color="auto" w:sz="6" w:space="0"/>
              <w:left w:val="single" w:color="auto" w:sz="4" w:space="0"/>
              <w:bottom w:val="single" w:color="auto" w:sz="6" w:space="0"/>
              <w:right w:val="single" w:color="auto" w:sz="4" w:space="0"/>
            </w:tcBorders>
            <w:noWrap w:val="0"/>
            <w:vAlign w:val="center"/>
          </w:tcPr>
          <w:p w14:paraId="5CC0871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5A1F0B3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78BBD63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59F49DB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32385E3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14:paraId="01B8CC6F">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769" w:type="pct"/>
            <w:tcBorders>
              <w:top w:val="single" w:color="auto" w:sz="4" w:space="0"/>
              <w:left w:val="single" w:color="auto" w:sz="4" w:space="0"/>
              <w:bottom w:val="single" w:color="auto" w:sz="4" w:space="0"/>
              <w:right w:val="single" w:color="auto" w:sz="4" w:space="0"/>
            </w:tcBorders>
            <w:noWrap w:val="0"/>
            <w:vAlign w:val="center"/>
          </w:tcPr>
          <w:p w14:paraId="1B6F9AF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14:paraId="61859D3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796" w:type="pct"/>
            <w:tcBorders>
              <w:top w:val="single" w:color="auto" w:sz="6" w:space="0"/>
              <w:left w:val="single" w:color="auto" w:sz="4" w:space="0"/>
              <w:bottom w:val="single" w:color="auto" w:sz="6" w:space="0"/>
              <w:right w:val="single" w:color="auto" w:sz="6" w:space="0"/>
            </w:tcBorders>
            <w:noWrap w:val="0"/>
            <w:vAlign w:val="center"/>
          </w:tcPr>
          <w:p w14:paraId="6A1F1E9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14:paraId="38C55BD7">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336DA02F">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430DD789">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资料收集及设备使用</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122700E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54A8C2A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35837F1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4F48A69F">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54B4F93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1AD2DAE0">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6056B89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28D118B8">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专家咨询及评审费</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020D115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127AA39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529DFF5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46E2940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4B81629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6959D44E">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14CCECB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0AA1E2A3">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图册及规划编制费</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5E62C06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22B6664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49B3FEB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14095A6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5853F1E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7020C95D">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59D0DAB2">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059CFC0D">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前期调研费</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176E6C6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0DBDB15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2EF5B70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603CE01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6AB3A54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3D2B8CAB">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4FB6A24F">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6FDFF542">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人工费及会议费</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09A05D5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0C420B9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616289A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01B0328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673ED01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39E18BC1">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17B0059C">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6B8FF17A">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交通食宿费</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67F106C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70C1B632">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37AF1A7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21D50D3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226B437F">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45A16E16">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0D201F9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5FD48910">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其他费用</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72324B4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5A704462">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0130B23F">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3442A46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3D32F06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4FFBF89E">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2DD2D7F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490AA54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4A5151C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5DB0C3E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441FF1EF">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70C7195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5720697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363184A8">
        <w:tblPrEx>
          <w:tblCellMar>
            <w:top w:w="0" w:type="dxa"/>
            <w:left w:w="28" w:type="dxa"/>
            <w:bottom w:w="0" w:type="dxa"/>
            <w:right w:w="28" w:type="dxa"/>
          </w:tblCellMar>
        </w:tblPrEx>
        <w:trPr>
          <w:trHeight w:val="567" w:hRule="atLeast"/>
          <w:jc w:val="center"/>
        </w:trPr>
        <w:tc>
          <w:tcPr>
            <w:tcW w:w="1752" w:type="pct"/>
            <w:gridSpan w:val="2"/>
            <w:tcBorders>
              <w:top w:val="single" w:color="auto" w:sz="4" w:space="0"/>
              <w:left w:val="single" w:color="auto" w:sz="6" w:space="0"/>
              <w:bottom w:val="single" w:color="auto" w:sz="6" w:space="0"/>
            </w:tcBorders>
            <w:noWrap w:val="0"/>
            <w:vAlign w:val="center"/>
          </w:tcPr>
          <w:p w14:paraId="0803BA2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247" w:type="pct"/>
            <w:gridSpan w:val="5"/>
            <w:tcBorders>
              <w:top w:val="single" w:color="auto" w:sz="4" w:space="0"/>
              <w:left w:val="single" w:color="auto" w:sz="6" w:space="0"/>
              <w:bottom w:val="single" w:color="auto" w:sz="6" w:space="0"/>
              <w:right w:val="single" w:color="auto" w:sz="6" w:space="0"/>
            </w:tcBorders>
            <w:noWrap w:val="0"/>
            <w:vAlign w:val="center"/>
          </w:tcPr>
          <w:p w14:paraId="01A0891F">
            <w:pPr>
              <w:keepNext w:val="0"/>
              <w:keepLines w:val="0"/>
              <w:pageBreakBefore w:val="0"/>
              <w:widowControl w:val="0"/>
              <w:shd w:val="clear" w:color="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                          (小写：       )</w:t>
            </w:r>
          </w:p>
        </w:tc>
      </w:tr>
    </w:tbl>
    <w:p w14:paraId="3A5FB3F1">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65" w:rightChars="257"/>
        <w:textAlignment w:val="auto"/>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14:paraId="4097433C">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65" w:rightChars="257" w:firstLine="422" w:firstLineChars="200"/>
        <w:textAlignment w:val="auto"/>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p>
    <w:p w14:paraId="7B8F7284">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eastAsia="zh-CN"/>
        </w:rPr>
      </w:pPr>
      <w:r>
        <w:rPr>
          <w:rFonts w:hint="eastAsia"/>
          <w:color w:val="auto"/>
          <w:sz w:val="21"/>
          <w:szCs w:val="21"/>
          <w:highlight w:val="none"/>
          <w:lang w:eastAsia="zh-CN"/>
        </w:rPr>
        <w:t>3.保留两位小数。</w:t>
      </w:r>
    </w:p>
    <w:p w14:paraId="734C806A">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val="en-US" w:eastAsia="zh-CN"/>
        </w:rPr>
      </w:pPr>
      <w:r>
        <w:rPr>
          <w:rFonts w:hint="eastAsia"/>
          <w:color w:val="auto"/>
          <w:sz w:val="21"/>
          <w:szCs w:val="21"/>
          <w:highlight w:val="none"/>
          <w:lang w:val="en-US" w:eastAsia="zh-CN"/>
        </w:rPr>
        <w:t>4.供应商在此基础上可</w:t>
      </w:r>
      <w:r>
        <w:rPr>
          <w:rFonts w:hint="eastAsia"/>
          <w:b/>
          <w:bCs/>
          <w:color w:val="auto"/>
          <w:sz w:val="21"/>
          <w:szCs w:val="21"/>
          <w:highlight w:val="none"/>
          <w:lang w:val="en-US" w:eastAsia="zh-CN"/>
        </w:rPr>
        <w:t>增加及细化</w:t>
      </w:r>
      <w:r>
        <w:rPr>
          <w:rFonts w:hint="eastAsia"/>
          <w:color w:val="auto"/>
          <w:sz w:val="21"/>
          <w:szCs w:val="21"/>
          <w:highlight w:val="none"/>
          <w:lang w:val="en-US" w:eastAsia="zh-CN"/>
        </w:rPr>
        <w:t>服务内容及报价，分项报价表中标明完成本次招标所要求服务内容且验收合格的所有费用。</w:t>
      </w:r>
    </w:p>
    <w:p w14:paraId="3E131FD5">
      <w:pPr>
        <w:pStyle w:val="3"/>
        <w:widowControl w:val="0"/>
        <w:shd w:val="clear" w:color="auto"/>
        <w:spacing w:before="0" w:beforeAutospacing="0" w:after="0" w:afterAutospacing="0" w:line="360" w:lineRule="auto"/>
        <w:ind w:firstLine="420" w:firstLineChars="200"/>
        <w:rPr>
          <w:rFonts w:hint="eastAsia" w:ascii="宋体" w:hAnsi="宋体" w:eastAsia="宋体" w:cs="宋体"/>
          <w:color w:val="auto"/>
          <w:sz w:val="21"/>
          <w:szCs w:val="21"/>
          <w:highlight w:val="none"/>
          <w:lang w:eastAsia="zh-CN"/>
        </w:rPr>
      </w:pPr>
    </w:p>
    <w:p w14:paraId="272E903A">
      <w:pPr>
        <w:pStyle w:val="3"/>
        <w:widowControl w:val="0"/>
        <w:shd w:val="clear" w:color="auto"/>
        <w:spacing w:before="0" w:beforeAutospacing="0" w:after="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供应商名称（单位公章）：</w:t>
      </w:r>
    </w:p>
    <w:p w14:paraId="5BCC8B6E">
      <w:pPr>
        <w:pStyle w:val="3"/>
        <w:widowControl w:val="0"/>
        <w:shd w:val="clear" w:color="auto"/>
        <w:spacing w:before="0" w:beforeAutospacing="0" w:after="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法定代表人或委托代理人（签字或盖章）：</w:t>
      </w:r>
    </w:p>
    <w:p w14:paraId="42DCED97">
      <w:pPr>
        <w:pStyle w:val="3"/>
        <w:widowControl w:val="0"/>
        <w:shd w:val="clear" w:color="auto"/>
        <w:spacing w:before="0" w:beforeAutospacing="0" w:after="0" w:afterAutospacing="0"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w:t>
      </w:r>
    </w:p>
    <w:p w14:paraId="75AB05C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55E05"/>
    <w:rsid w:val="269F4FE9"/>
    <w:rsid w:val="3F7F3059"/>
    <w:rsid w:val="3FA55E05"/>
    <w:rsid w:val="40A140C5"/>
    <w:rsid w:val="45C778F5"/>
    <w:rsid w:val="4B28436D"/>
    <w:rsid w:val="68C8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2025-09-18T07:57:00Z</dcterms:created>
  <dc:creator>周震</dc:creator>
  <cp:lastModifiedBy>周震</cp:lastModifiedBy>
  <dcterms:modified xsi:type="dcterms:W3CDTF">2025-09-18T07:57:10Z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B8E278E2D2354ECEB622232D4CC04ADB_11</vt:lpwstr>
  </property>
  <property fmtid="{D5CDD505-2E9C-101B-9397-08002B2CF9AE}" pid="4" name="KSOTemplateDocerSaveRecord">
    <vt:lpwstr>eyJoZGlkIjoiZTQ3Zjg1YTQ5YTA3ODJhMjdiNjliZWIzNmI2NjU2ODQifQ==</vt:lpwstr>
  </property>
</Properties>
</file>