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版本号：YXZB-2025-1218.1B120260115001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2025年度在职民辅警和离退休干警健康体检项目(二次)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YXZB-2025-1218.1B1</w:t>
      </w:r>
      <w:r>
        <w:br/>
      </w:r>
      <w:r>
        <w:br/>
      </w:r>
      <w:r>
        <w:br/>
      </w:r>
    </w:p>
    <w:p>
      <w:pPr>
        <w:pStyle w:val="null3"/>
        <w:jc w:val="center"/>
        <w:outlineLvl w:val="2"/>
      </w:pPr>
      <w:r>
        <w:rPr>
          <w:rFonts w:ascii="仿宋_GB2312" w:hAnsi="仿宋_GB2312" w:cs="仿宋_GB2312" w:eastAsia="仿宋_GB2312"/>
          <w:sz w:val="28"/>
          <w:b/>
        </w:rPr>
        <w:t>西安市公安局新城分局</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西安市公安局新城分局</w:t>
      </w:r>
      <w:r>
        <w:rPr>
          <w:rFonts w:ascii="仿宋_GB2312" w:hAnsi="仿宋_GB2312" w:cs="仿宋_GB2312" w:eastAsia="仿宋_GB2312"/>
        </w:rPr>
        <w:t>委托，拟对</w:t>
      </w:r>
      <w:r>
        <w:rPr>
          <w:rFonts w:ascii="仿宋_GB2312" w:hAnsi="仿宋_GB2312" w:cs="仿宋_GB2312" w:eastAsia="仿宋_GB2312"/>
        </w:rPr>
        <w:t>2025年度在职民辅警和离退休干警健康体检项目(二次)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YXZB-2025-1218.1B1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2025年度在职民辅警和离退休干警健康体检项目(二次)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2025年度西安市公安局新城分局在职民辅警和离退休干警健康体检。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采购包1（2025年度在职民辅警和离退休干警健康体检项目）：属于专门面向中小企业采购。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1、具有独立承担民事责任的能力：提供注册登记凭证（在中华人民共和国境内注册，并有效存续的营业执照/事业单位法人证书/非企业专业服务机构执业许可证/民办非企业单位登记证书、税务 登证、组织机构代码证，或“三证合一”后的注册登记证）；</w:t>
      </w:r>
    </w:p>
    <w:p>
      <w:pPr>
        <w:pStyle w:val="null3"/>
      </w:pPr>
      <w:r>
        <w:rPr>
          <w:rFonts w:ascii="仿宋_GB2312" w:hAnsi="仿宋_GB2312" w:cs="仿宋_GB2312" w:eastAsia="仿宋_GB2312"/>
        </w:rPr>
        <w:t>2、具有履行合同所必需的设备和专业技术能力：提供具有履行合同所必需的设备和专业技术能力声明文件原件；</w:t>
      </w:r>
    </w:p>
    <w:p>
      <w:pPr>
        <w:pStyle w:val="null3"/>
      </w:pPr>
      <w:r>
        <w:rPr>
          <w:rFonts w:ascii="仿宋_GB2312" w:hAnsi="仿宋_GB2312" w:cs="仿宋_GB2312" w:eastAsia="仿宋_GB2312"/>
        </w:rPr>
        <w:t>3、具有依法缴纳税收的良好记录：提供缴费所属日期为开标时间前12个月内任一月份（开标时间当月不计入）的税收缴费凭据或税务机关出具的完税证明/在法规范围内不需提供的应出具书面说明和证明文件；</w:t>
      </w:r>
    </w:p>
    <w:p>
      <w:pPr>
        <w:pStyle w:val="null3"/>
      </w:pPr>
      <w:r>
        <w:rPr>
          <w:rFonts w:ascii="仿宋_GB2312" w:hAnsi="仿宋_GB2312" w:cs="仿宋_GB2312" w:eastAsia="仿宋_GB2312"/>
        </w:rPr>
        <w:t>4、具有依法缴纳社会保障资金的良好记录：提供缴费所属日期为开标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5、无重大违法记录声明：提供参加本次政府采购活动前3年内在经营活动中没有重大违法记录书面声明；</w:t>
      </w:r>
    </w:p>
    <w:p>
      <w:pPr>
        <w:pStyle w:val="null3"/>
      </w:pPr>
      <w:r>
        <w:rPr>
          <w:rFonts w:ascii="仿宋_GB2312" w:hAnsi="仿宋_GB2312" w:cs="仿宋_GB2312" w:eastAsia="仿宋_GB2312"/>
        </w:rPr>
        <w:t>6、信誉要求：供应商在递交响应文件截止时间前被“信用中国”网站列入失信被执行人或税收违法黑名单的，或在中国政府采购网（www.ccgp.gov.cn）列入政府采购严重违法失信行为记录名单的，不得参加投标；</w:t>
      </w:r>
    </w:p>
    <w:p>
      <w:pPr>
        <w:pStyle w:val="null3"/>
      </w:pPr>
      <w:r>
        <w:rPr>
          <w:rFonts w:ascii="仿宋_GB2312" w:hAnsi="仿宋_GB2312" w:cs="仿宋_GB2312" w:eastAsia="仿宋_GB2312"/>
        </w:rPr>
        <w:t>7、法定代表人委托授权书：法定代表人资格证明书（原件）或法定代表人委托授权书（原件，法人委派授权人参加的需提供）；</w:t>
      </w:r>
    </w:p>
    <w:p>
      <w:pPr>
        <w:pStyle w:val="null3"/>
      </w:pPr>
      <w:r>
        <w:rPr>
          <w:rFonts w:ascii="仿宋_GB2312" w:hAnsi="仿宋_GB2312" w:cs="仿宋_GB2312" w:eastAsia="仿宋_GB2312"/>
        </w:rPr>
        <w:t>8、资质要求：供应商具备有效的《医疗机构执业许可证》和《放射诊疗许可证》；</w:t>
      </w:r>
    </w:p>
    <w:p>
      <w:pPr>
        <w:pStyle w:val="null3"/>
      </w:pPr>
      <w:r>
        <w:rPr>
          <w:rFonts w:ascii="仿宋_GB2312" w:hAnsi="仿宋_GB2312" w:cs="仿宋_GB2312" w:eastAsia="仿宋_GB2312"/>
        </w:rPr>
        <w:t>9、本项目不接受联合体投标：提供非联合体投标书面声明函。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西安市公安局新城分局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后宰门51号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029-86752455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陕西省西安市浐灞生态区长乐东路长乐壹号第一幢4层1-11号商铺10室22号【集群】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孙梅雪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029-81141306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不足5000.00元，按5000.00元收取。此服务费应计入磋商报价中，但不需要单独开列。 2.采购代理服务费收取： 单位名称：陕西玥鑫项目管理有限公司 开户银行：中国建设银行股份有限公司西安祥和居支行 银行账户：6105 0110 1948 0000 0615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西安市公安局新城分局</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西安市公安局新城分局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西安市公安局新城分局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符合国家、行业相关法律法规及采购人需求，具体以后续签订合同为准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联系人：孙梅雪</w:t>
      </w:r>
    </w:p>
    <w:p>
      <w:pPr>
        <w:pStyle w:val="null3"/>
      </w:pPr>
      <w:r>
        <w:rPr>
          <w:rFonts w:ascii="仿宋_GB2312" w:hAnsi="仿宋_GB2312" w:cs="仿宋_GB2312" w:eastAsia="仿宋_GB2312"/>
        </w:rPr>
        <w:t>联系电话：029-81141306</w:t>
      </w:r>
    </w:p>
    <w:p>
      <w:pPr>
        <w:pStyle w:val="null3"/>
      </w:pPr>
      <w:r>
        <w:rPr>
          <w:rFonts w:ascii="仿宋_GB2312" w:hAnsi="仿宋_GB2312" w:cs="仿宋_GB2312" w:eastAsia="仿宋_GB2312"/>
        </w:rPr>
        <w:t>地址：陕西省西安市浐灞生态区长乐东路长乐壹号第一幢4层1-11号商铺10室22号【集群】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2025年度西安市公安局新城分局在职民辅警和离退休干警健康体检。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1,270,000.00</w:t>
      </w:r>
    </w:p>
    <w:p>
      <w:pPr>
        <w:pStyle w:val="null3"/>
      </w:pPr>
      <w:r>
        <w:rPr>
          <w:rFonts w:ascii="仿宋_GB2312" w:hAnsi="仿宋_GB2312" w:cs="仿宋_GB2312" w:eastAsia="仿宋_GB2312"/>
        </w:rPr>
        <w:t>采购包最高限价（元）: 1,268,200.00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健康体检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标的名称：健康体检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330"/>
              <w:gridCol w:w="330"/>
              <w:gridCol w:w="901"/>
              <w:gridCol w:w="330"/>
              <w:gridCol w:w="330"/>
              <w:gridCol w:w="330"/>
            </w:tblGrid>
            <w:tr>
              <w:tc>
                <w:tcPr>
                  <w:tcW w:type="dxa" w:w="2551"/>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2025年西安市公安局新城分局民警体检内容</w:t>
                  </w:r>
                </w:p>
              </w:tc>
            </w:tr>
            <w:tr>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科室</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检查项目</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临床意义</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男</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女已婚</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女未婚</w:t>
                  </w:r>
                </w:p>
              </w:tc>
            </w:tr>
            <w:tr>
              <w:tc>
                <w:tcPr>
                  <w:tcW w:type="dxa" w:w="33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基础检查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身高体重血压</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身高、体重、血压、有无异常</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内科</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内科诊室检查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功能科室</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心电图</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静态心电图检查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超声检查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上腹部超声</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肝、胆、脾、胰、双肾内脏检查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甲状腺超声检查</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甲状腺检查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前列腺超声</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前列腺、膀胱</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子宫附件超声</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子宫、附件（卵巢）</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两侧乳腺超声检查</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女性乳腺检查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检验项目</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血常规五分类分析</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血常规20项以上检测</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空腹血糖</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检查糖代谢情况，有无糖尿病或低血糖症</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血脂四项</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总胆固醇、甘油三脂、高密度脂蛋白、低密度脂蛋白</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尿常规</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有无泌尿系感染、急、慢性肾炎等疾病</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乙肝五项</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有无乙型肝炎病毒感染是否产生抗体是否注射乙肝疫苗</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肝功能四项</w:t>
                  </w:r>
                </w:p>
              </w:tc>
              <w:tc>
                <w:tcPr>
                  <w:tcW w:type="dxa" w:w="9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1、谷丙转氨酶2、谷草转氨酶3、γ-谷氨酰转肽酶4、总胆红素</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肾功能三项</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1、肌酐2、尿素3、血尿酸</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C14呼气实验</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检测胃幽门螺旋杆菌</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肿瘤项目</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甲胎蛋白AFP定量</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肝癌等癌症筛查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癌胚抗原CEA定量</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胃癌、胆囊癌、结肠癌、直肠癌的筛查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血清CA19-9定量</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胰腺和肠道肿瘤的筛查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前列特意抗原组合</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前列腺肿瘤筛查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血清CA12-5定量</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卵巢癌的筛查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血清CA153定量</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乳腺癌的筛查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肿瘤CA50定量</w:t>
                  </w:r>
                </w:p>
              </w:tc>
              <w:tc>
                <w:tcPr>
                  <w:tcW w:type="dxa" w:w="9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胆道系统肿瘤、肠癌、胃癌的筛查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妇科检查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妇科一般检查</w:t>
                  </w:r>
                </w:p>
              </w:tc>
              <w:tc>
                <w:tcPr>
                  <w:tcW w:type="dxa" w:w="9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有无阴道炎、宫颈炎、宫颈糜烂、盆腔炎、卵巢肿瘤</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白带常规</w:t>
                  </w:r>
                </w:p>
              </w:tc>
              <w:tc>
                <w:tcPr>
                  <w:tcW w:type="dxa" w:w="901"/>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宫颈TCT</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筛查早期宫颈癌的重要项目</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影像检查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胸部CT检查</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常用于检查胸壁、胸膜、肺部病变、心脏、大血管的病变。肺部疾病检查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健康服务</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三甲医院绿通</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三甲医院绿通服务（门诊、住院等）</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早餐</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早餐</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营养早餐</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2551"/>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在职民警体检人数：888人；在职民警体检限价：62.16万元</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315"/>
              <w:gridCol w:w="315"/>
              <w:gridCol w:w="976"/>
              <w:gridCol w:w="315"/>
              <w:gridCol w:w="315"/>
              <w:gridCol w:w="315"/>
            </w:tblGrid>
            <w:tr>
              <w:tc>
                <w:tcPr>
                  <w:tcW w:type="dxa" w:w="2551"/>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2025年西安市公安局新城分局辅警体检内容</w:t>
                  </w:r>
                </w:p>
              </w:tc>
            </w:tr>
            <w:tr>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科室</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检查项目</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临床意义</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男</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女已婚</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女未婚</w:t>
                  </w:r>
                </w:p>
              </w:tc>
            </w:tr>
            <w:tr>
              <w:tc>
                <w:tcPr>
                  <w:tcW w:type="dxa" w:w="315"/>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基础检查</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身高体重血压</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身高、体重、血压、有无异常</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non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内科</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内科诊室检查</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功能科室</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心电图</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静态心电图检查</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超声检查</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上腹部超声</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肝、胆、脾、胰、双肾内脏检查</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singl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甲状腺超声检查</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甲状腺检查</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singl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前列腺超声</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前列腺、膀胱</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singl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子宫附件超声</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子宫、附件（卵巢）</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singl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两侧乳腺超声检查</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女性乳腺检查</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检验项目</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血常规五分类分析</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血常规20项以上检测</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non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空腹血糖</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检查糖代谢情况，有无糖尿病或低血糖症</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non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血脂两项</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总胆固醇、甘油三脂</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non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尿常规</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有无泌尿系感染、急、慢性肾炎等疾病</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non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乙肝五项</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有无乙型肝炎病毒感染是否产生抗体是否注射乙肝疫苗</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none" w:color="000000" w:sz="4"/>
                    <w:right w:val="single" w:color="000000" w:sz="4"/>
                  </w:tcBorders>
                </w:tcPr>
                <w:p/>
              </w:tc>
              <w:tc>
                <w:tcPr>
                  <w:tcW w:type="dxa" w:w="31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肝功能四项</w:t>
                  </w:r>
                </w:p>
              </w:tc>
              <w:tc>
                <w:tcPr>
                  <w:tcW w:type="dxa" w:w="9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1、谷丙转氨酶2、谷草转氨酶3、γ-谷氨酰转肽酶4、总胆红素</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non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肾功能三项</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1、肌酐2、尿素3、血尿酸</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肿瘤项目</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甲胎蛋白AFP</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肝癌等癌症筛查</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non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癌胚抗原CEA</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胃癌、胆囊癌、结肠癌、直肠癌的筛查</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妇科检查</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妇科一般检查</w:t>
                  </w:r>
                </w:p>
              </w:tc>
              <w:tc>
                <w:tcPr>
                  <w:tcW w:type="dxa" w:w="9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有无阴道炎、宫颈炎、宫颈糜烂、盆腔炎、卵巢肿瘤</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vMerge/>
                  <w:tcBorders>
                    <w:top w:val="single" w:color="000000" w:sz="4"/>
                    <w:left w:val="single" w:color="000000" w:sz="4"/>
                    <w:bottom w:val="singl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白带常规</w:t>
                  </w:r>
                </w:p>
              </w:tc>
              <w:tc>
                <w:tcPr>
                  <w:tcW w:type="dxa" w:w="976"/>
                  <w:vMerge/>
                  <w:tcBorders>
                    <w:top w:val="single" w:color="000000" w:sz="4"/>
                    <w:left w:val="single" w:color="000000" w:sz="4"/>
                    <w:bottom w:val="singl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15"/>
                  <w:vMerge/>
                  <w:tcBorders>
                    <w:top w:val="single" w:color="000000" w:sz="4"/>
                    <w:left w:val="single" w:color="000000" w:sz="4"/>
                    <w:bottom w:val="single" w:color="000000" w:sz="4"/>
                    <w:right w:val="single" w:color="000000" w:sz="4"/>
                  </w:tcBorders>
                </w:tcP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宫颈刮片</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筛查早期宫颈癌的重要项目</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影像检查</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胸部正位片</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对胸部进行正位检查对支气管、两肺、心脏、胸廓、胸膜、纵膈、隔以及胸腔内骨骼等病变的临床诊断提供影像学依据。</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健康服务</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三甲医院绿通</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三甲医院绿通服务（门诊、住院等）</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早餐</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早餐</w:t>
                  </w:r>
                </w:p>
              </w:tc>
              <w:tc>
                <w:tcPr>
                  <w:tcW w:type="dxa" w:w="9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营养早餐</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2551"/>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在职辅警体检人数：683人；在职辅警体检限价：20.49万元</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330"/>
              <w:gridCol w:w="330"/>
              <w:gridCol w:w="901"/>
              <w:gridCol w:w="330"/>
              <w:gridCol w:w="330"/>
              <w:gridCol w:w="330"/>
            </w:tblGrid>
            <w:tr>
              <w:tc>
                <w:tcPr>
                  <w:tcW w:type="dxa" w:w="2551"/>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2025年西安市公安局新城分局退休民警体检内容</w:t>
                  </w:r>
                </w:p>
              </w:tc>
            </w:tr>
            <w:tr>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科室</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检查项目</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临床意义</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男</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女已婚</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女未婚</w:t>
                  </w:r>
                </w:p>
              </w:tc>
            </w:tr>
            <w:tr>
              <w:tc>
                <w:tcPr>
                  <w:tcW w:type="dxa" w:w="33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基础检查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身高体重血压</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身高、体重、血压、有无异常</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内科</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内科诊室检查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功能科室</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心电图</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静态心电图检查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超声检查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上腹部超声</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肝、胆、脾、胰、双肾内脏检查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甲状腺超声检查</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甲状腺检查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前列腺超声</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前列腺、膀胱</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子宫附件超声</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子宫、附件（卵巢）</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两侧乳腺超声检查</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女性乳腺检查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心脏彩超</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心脏彩超</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检验项目</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血常规五分类分析</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血常规20项以上检测</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空腹血糖</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检查糖代谢情况，有无糖尿病或低血糖症</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血脂四项</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总胆固醇、甘油三脂、高密度脂蛋白、低密度脂蛋白</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尿常规</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有无泌尿系感染、急、慢性肾炎等疾病</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肝功能四项</w:t>
                  </w:r>
                </w:p>
              </w:tc>
              <w:tc>
                <w:tcPr>
                  <w:tcW w:type="dxa" w:w="9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1、谷丙转氨酶2、谷草转氨酶3、γ-谷氨酰转肽酶4、总胆红素</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肾功能三项</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1、肌酐2、尿素3、血尿酸</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none" w:color="000000" w:sz="4"/>
                    <w:right w:val="single" w:color="000000" w:sz="4"/>
                  </w:tcBorders>
                </w:tcPr>
                <w:p/>
              </w:tc>
              <w:tc>
                <w:tcPr>
                  <w:tcW w:type="dxa" w:w="3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心肌酶三项</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乳酸脱氢酶(LDH)、肌酸激酶（CK）、肌酸激酶同工酶（CK-MB）心肌酶主要是测定心肌缺血坏死的程度或细胞膜通透性的改变</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肿瘤项目</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甲胎蛋白AFP定量</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肝癌等癌症筛查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癌胚抗原CEA定量</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胃癌、胆囊癌、结肠癌、直肠癌的筛查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血清CA19-9定量</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胰腺和肠道肿瘤的筛查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前列特意抗原组合</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前列腺肿瘤筛查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血清CA12-5定量</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卵巢癌的筛查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血清CA153定量</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乳腺癌的筛查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肿瘤CA50定量</w:t>
                  </w:r>
                </w:p>
              </w:tc>
              <w:tc>
                <w:tcPr>
                  <w:tcW w:type="dxa" w:w="9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胆道系统肿瘤、肠癌、胃癌的筛查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妇科检查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妇科一般检查</w:t>
                  </w:r>
                </w:p>
              </w:tc>
              <w:tc>
                <w:tcPr>
                  <w:tcW w:type="dxa" w:w="9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有无阴道炎、宫颈炎、宫颈糜烂、盆腔炎、卵巢肿瘤</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白带常规</w:t>
                  </w:r>
                </w:p>
              </w:tc>
              <w:tc>
                <w:tcPr>
                  <w:tcW w:type="dxa" w:w="901"/>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30"/>
                  <w:vMerge/>
                  <w:tcBorders>
                    <w:top w:val="single" w:color="000000" w:sz="4"/>
                    <w:left w:val="single" w:color="000000" w:sz="4"/>
                    <w:bottom w:val="single" w:color="000000" w:sz="4"/>
                    <w:right w:val="single" w:color="000000" w:sz="4"/>
                  </w:tcBorders>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宫颈TCT</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筛查早期宫颈癌的重要项目</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影像检查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胸部CT检查</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常用于检查胸壁、胸膜、肺部病变、心脏、大血管的病变。肺部疾病检查</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健康服务</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三甲医院绿通</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三甲医院绿通服务（门诊、住院等）</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早餐</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早餐</w:t>
                  </w:r>
                </w:p>
              </w:tc>
              <w:tc>
                <w:tcPr>
                  <w:tcW w:type="dxa" w:w="9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营养早餐</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2551"/>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退休民警体检人数：631人；退休民警体检限价：44.17万元</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所有体检项目由具有相应资质的医护人员负责，满足本次采购人采购需求。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具有体检专用设备，且覆盖本次体检所有项目。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1.体检医疗机构须建立电子健康档案，具有相应的体检信息管理系统可进行体检预约和体检信息综合管理。 2.对年老体弱、行动不便的人员提供必要的人员和装备帮助。 3.体检过程中所需要的设备和耗材，全部由供应商提供；体检表、化验单、报告单由体检医疗机构提供；妇科检查和实验室检查均要求使用一次性材料。 4.体检期间提供免费早餐。 5.体检单位应在体检结束后15日内，向用户方提交体检报告，体检报告须进行密封，体检结束30日内向用户单位提供所查人员的疾患名单和疾病汇总分析；体检单位应进行一次上门体检报告解析答疑。 6.体检单位应提前告知特殊体检项目的详细要求和注意事项（如B超、心电图等）。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自合同签订之日起至本项目体检服务内容全部结束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体检医疗机构应指定唯一服务点，未经采购人允许，不许调配采购人体检人员到体检医疗机构旗下的其他分院或其他分支机构进行体检。若响应供应商响应文件中未明确本项目唯一体检服务地点，按无效响应文件处理。2.体检医疗机构服务点应具备完成所有体检项目的设备及人员。3.交通便捷，环境良好。</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符合国家、行业相关法律法规及采购人需求，具体以后续签订合同为准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服务期结束后，供应商向采购人提供实际体检人员明细及体检金额汇总，经双方核实无误后，采购人向供应商支付全部体检费用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符合国家、行业相关法律法规及采购人需求，具体以后续签订合同为准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1.如果成交供应商提供的服务达不到采购人要求，或发生不良反响的体检事件超过3人以上，采购人有权终止合同。2.本项目为固定单价合同，体检人数为暂定人数，具体以后续实际体检人数为准。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提供注册登记凭证（在中华人民共和国境内注册，并有效存续的营业执照/事业单位法人证书/非企业专业服务机构执业许可证/民办非企业单位登记证书、税务 登证、组织机构代码证，或“三证合一”后的注册登记证）；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提供具有履行合同所必需的设备和专业技术能力声明文件原件；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提供缴费所属日期为开标时间前12个月内任一月份（开标时间当月不计入）的税收缴费凭据或税务机关出具的完税证明/在法规范围内不需提供的应出具书面说明和证明文件；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提供参加本次政府采购活动前3年内在经营活动中没有重大违法记录书面声明；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供应商在递交响应文件截止时间前被“信用中国”网站列入失信被执行人或税收违法黑名单的，或在中国政府采购网（www.ccgp.gov.cn）列入政府采购严重违法失信行为记录名单的，不得参加投标；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法定代表人资格证明书（原件）或法定代表人委托授权书（原件，法人委派授权人参加的需提供）；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供应商具备有效的《医疗机构执业许可证》和《放射诊疗许可证》；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提供非联合体投标书面声明函。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标的清单 报价表 供应商资格证明文件.docx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标的清单 报价表 供应商资格证明文件.docx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1.响应内容不能出现漏项或数量与要求不符；2.要求全面响应磋商文件，不能有任何采购人不能接受的附加条件；3.不允许提供虚假证明，开具虚假资质，出现虚假应答。</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标的清单 报价表 供应商资格证明文件.docx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主检医生资质：具备副主任医师或主任医师的得5分，需提供相应证件，不提供不得分。②拟派医务人员资质：具备相关专业证书的每个得1分，需提供相应证件,不提供不得分。根据所提供资料人数，最高可得10分。（同一人员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针对本项目提出适用于本项目的保密方案，方案包括：①保密措施②保密制度二、评分标准：1.内容详细全面、架构完整、层次清楚、完善可行的计6分；2.只有框架，措施内容或制度不详细的计3分；3.针对以上方案内容，有1项欠缺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针对本项目提出适用于本项目的服务承诺及合理化建议二、评分标准：1.内容详细全面、架构完整、层次清楚、完善可行的计5分；2只有框架，承诺或建议描述简单的计3分；3.只有服务承诺、无合理化建议的计1分；4.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根据供应商提供的服务方案，主要从以下方面进行评分(包括但不限于)：①体检流程；②体检结果质量保证措施；③体检发现疾病的后续服务；④投诉处理流程；⑤隐私保护措施；⑥健康管理建议；⑦健康风险评估。二、评分标准：1.内容详细全面、架构完整、层次清楚、完善可行的计15分；2.针对以上方案内容，有1项欠缺或只有框架，方案内容描述简单、不详细的计12分；3.针对以上方案内容，有2-3项欠缺的计9分；4.针对以上方案内容，有4-5项欠缺的计6分；5.针对以上方案内容，有6项欠缺的计3分；6.未提供本项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供应商根据在体检过程中可能发生的特殊情况（如被体检人晕针、晕血、低血糖、仪器伤害等）制定具有可操作性的应急处置措施。评分标准：1.内容详细全面、切实可行、科学合理的计6分；2.针对以上方案内容，只有框架，措施内容不详细的计3分；3.针对以上措施内容，有缺项漏项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一、针对本项目提出适用于本项目的服务质量保障，方案包括：①现场指引服务②绿色就医通道服务③体检流程安排④独立体检环境场所⑤免费中型车停车场；二、评分标准：1.内容详细全面、架构完整、层次清楚、完善可行的计12分；2.内容完整但只有框架，描述简单、不详细的计9分；3.针对以上方案内容，有1项欠缺的计6分；4.针对以上方案内容，有2项欠缺的计3分；5.针对以上方案内容，有3项欠缺的计1分；6.未提供本项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拟投入的医疗配备情况</w:t>
            </w:r>
          </w:p>
        </w:tc>
        <w:tc>
          <w:tcPr>
            <w:tcW w:type="dxa" w:w="2492"/>
          </w:tcPr>
          <w:p>
            <w:pPr>
              <w:pStyle w:val="null3"/>
            </w:pPr>
            <w:r>
              <w:rPr>
                <w:rFonts w:ascii="仿宋_GB2312" w:hAnsi="仿宋_GB2312" w:cs="仿宋_GB2312" w:eastAsia="仿宋_GB2312"/>
              </w:rPr>
              <w:t>一、针对本项目拟投入的医疗配备情况，方案包括：①检测仪器等设备设施清单②设备先进及技术成熟程度③设备图片及说明(包括：设备规格、型号、使用用途等）二、评分标准：1.内容详细全面、证明资料充分，完全满足服务需求的计9分；2.无欠缺但设备清单较少、证明资料不充分、基本满足服务需求的计6分；3.针对以上方案内容，有1项欠缺的计3分；4.针对以上方案内容，有2项欠缺的计1分；5.未提供本项内容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体检报告及形式</w:t>
            </w:r>
          </w:p>
        </w:tc>
        <w:tc>
          <w:tcPr>
            <w:tcW w:type="dxa" w:w="2492"/>
          </w:tcPr>
          <w:p>
            <w:pPr>
              <w:pStyle w:val="null3"/>
            </w:pPr>
            <w:r>
              <w:rPr>
                <w:rFonts w:ascii="仿宋_GB2312" w:hAnsi="仿宋_GB2312" w:cs="仿宋_GB2312" w:eastAsia="仿宋_GB2312"/>
              </w:rPr>
              <w:t>一、针对本项目提出适用于本项目的体检报告及报告形式，包括：①体检报告结果分析②治疗建议及健康评估报告③体检报告形式 二、评分标准：1.形式多样化，便捷化，内容完善，针对体检问题有专业性的建议的计6分；2.形式单一，或只有框架、描述简单的计3分；3.有缺项漏项的计1分；4.未提供本项内容的不计分。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体检管理制度</w:t>
            </w:r>
          </w:p>
        </w:tc>
        <w:tc>
          <w:tcPr>
            <w:tcW w:type="dxa" w:w="2492"/>
          </w:tcPr>
          <w:p>
            <w:pPr>
              <w:pStyle w:val="null3"/>
            </w:pPr>
            <w:r>
              <w:rPr>
                <w:rFonts w:ascii="仿宋_GB2312" w:hAnsi="仿宋_GB2312" w:cs="仿宋_GB2312" w:eastAsia="仿宋_GB2312"/>
              </w:rPr>
              <w:t>一、针对本项目提出适用于本项目的体检管理制度，包括：①人员管理制度②服务质量管理制度③服务质量自检整改措施二、评分标准：1.内容详细全面、架构完整、层次清楚、完善可行的计6分；2.有1项欠缺或只有框架，措施内容或制度不详细的计3分；3.针对以上内容，有2项欠缺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配套服务方案</w:t>
            </w:r>
          </w:p>
        </w:tc>
        <w:tc>
          <w:tcPr>
            <w:tcW w:type="dxa" w:w="2492"/>
          </w:tcPr>
          <w:p>
            <w:pPr>
              <w:pStyle w:val="null3"/>
            </w:pPr>
            <w:r>
              <w:rPr>
                <w:rFonts w:ascii="仿宋_GB2312" w:hAnsi="仿宋_GB2312" w:cs="仿宋_GB2312" w:eastAsia="仿宋_GB2312"/>
              </w:rPr>
              <w:t>一、针对本项目提出适用于本项目的配套服务方案，方案包括：①体检后专家就诊服务②复查以及增项检查的优惠政策等③其他具有实际意义的服务内容二、评分标准：1.内容详细全面、架构完整、层次清楚、完善可行的计6分；2.有1项欠缺或只有框架，方案内容描述不详细的计4分；3.针对以上方案内容，有2项欠缺的计2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1.供应商提供自2022年1月至今类似项目业绩，每提供一份业绩合同得2分，满分为4分，不得重复累计。注：以合同签订时间为准，供应商应在竞争性磋商响应文件中提供业绩合同电子件或扫描件；2.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